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374" w:rsidRPr="00E3361D" w:rsidRDefault="001D1374" w:rsidP="00B4013C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bookmarkStart w:id="0" w:name="_GoBack"/>
      <w:bookmarkEnd w:id="0"/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>TRA VINH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 xml:space="preserve"> PROVINC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>IAL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 xml:space="preserve"> PEOPLE'S COMMITTEE</w:t>
      </w:r>
    </w:p>
    <w:p w:rsidR="001D1374" w:rsidRPr="00E3361D" w:rsidRDefault="001D1374" w:rsidP="00B4013C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 xml:space="preserve">MANAGEMENT 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 xml:space="preserve">BOARD 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OF ECONOMIC ZONE</w:t>
      </w:r>
    </w:p>
    <w:p w:rsidR="00134AEB" w:rsidRPr="00E3361D" w:rsidRDefault="002F1E9D" w:rsidP="00B4013C">
      <w:pPr>
        <w:spacing w:before="120" w:after="12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3361D">
        <w:rPr>
          <w:rFonts w:asciiTheme="majorHAnsi" w:hAnsiTheme="majorHAnsi" w:cstheme="majorHAnsi"/>
          <w:b/>
          <w:sz w:val="28"/>
          <w:szCs w:val="28"/>
        </w:rPr>
        <w:t>*</w:t>
      </w:r>
    </w:p>
    <w:p w:rsidR="002001AA" w:rsidRPr="00E3361D" w:rsidRDefault="005F740D" w:rsidP="00B4013C">
      <w:pPr>
        <w:spacing w:before="120" w:after="120"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 xml:space="preserve">INVESTMENT 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 xml:space="preserve">INCENTIVE 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POLIC</w:t>
      </w:r>
      <w:r w:rsidR="00011E23"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>Y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 xml:space="preserve"> AND SUPPORT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 xml:space="preserve"> IN INDUSTRIAL </w:t>
      </w:r>
      <w:r w:rsidR="004E4C8A"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>ZONE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, ECONOMIC ZONE IN T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>RA VINH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 xml:space="preserve"> PROVINCE</w:t>
      </w:r>
    </w:p>
    <w:p w:rsidR="00C4716E" w:rsidRPr="00E3361D" w:rsidRDefault="00C4716E" w:rsidP="00B4013C">
      <w:pPr>
        <w:spacing w:before="120" w:after="120"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FE3E34" w:rsidRPr="00E3361D" w:rsidRDefault="00FE3E34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I. GENERAL PROVISION:</w:t>
      </w:r>
    </w:p>
    <w:p w:rsidR="00FE3E34" w:rsidRPr="00E3361D" w:rsidRDefault="00FE3E34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 xml:space="preserve">* </w:t>
      </w:r>
      <w:r w:rsidR="00765D9F"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>A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reas of investment incentive include:</w:t>
      </w:r>
    </w:p>
    <w:p w:rsidR="00FE3E34" w:rsidRPr="00E3361D" w:rsidRDefault="00FE3E34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- Areas with extremely difficult socio-economic conditions (Dinh An </w:t>
      </w:r>
      <w:r w:rsidR="006D76AD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economic zone</w:t>
      </w:r>
      <w:r w:rsidR="001662B6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(</w:t>
      </w:r>
      <w:r w:rsidR="000658F2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E</w:t>
      </w:r>
      <w:r w:rsidR="001662B6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Z)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);</w:t>
      </w:r>
    </w:p>
    <w:p w:rsidR="00BD3CE2" w:rsidRPr="00E3361D" w:rsidRDefault="00FE3E34" w:rsidP="00B4013C">
      <w:pPr>
        <w:spacing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-</w:t>
      </w:r>
      <w:r w:rsidR="00953120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="00376E91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reas with difficult socio-economic conditions (Cau Quan </w:t>
      </w:r>
      <w:r w:rsidR="003A3CA2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i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ndustrial </w:t>
      </w:r>
      <w:r w:rsidR="005B668C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zone (IZ)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, Co Chien</w:t>
      </w:r>
      <w:r w:rsidR="00FA3DC4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IZ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, Long Duc</w:t>
      </w:r>
      <w:r w:rsidR="00FA3DC4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IZ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).</w:t>
      </w:r>
    </w:p>
    <w:p w:rsidR="004E3D67" w:rsidRPr="00E3361D" w:rsidRDefault="004E3D67" w:rsidP="00B4013C">
      <w:pPr>
        <w:spacing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(Listed in </w:t>
      </w:r>
      <w:r w:rsidR="00E4701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ppendix II, </w:t>
      </w:r>
      <w:r w:rsidR="00530D5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l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ist of areas for investment incentive </w:t>
      </w:r>
      <w:r w:rsidR="007A26CA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in</w:t>
      </w:r>
      <w:r w:rsidR="00052855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Decree No. 118/2015/ND-CP dated </w:t>
      </w:r>
      <w:r w:rsidR="00077574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on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September</w:t>
      </w:r>
      <w:r w:rsidR="00581E24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22,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2006 of the Government detailing and guiding the implementation of a number of articles </w:t>
      </w:r>
      <w:r w:rsidR="007758EA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in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the </w:t>
      </w:r>
      <w:r w:rsidR="0009400D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i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nvestment </w:t>
      </w:r>
      <w:r w:rsidR="0009400D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l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aw 2014).</w:t>
      </w:r>
    </w:p>
    <w:p w:rsidR="005561B1" w:rsidRPr="00E3361D" w:rsidRDefault="005561B1" w:rsidP="00B4013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:rsidR="00394157" w:rsidRPr="00E3361D" w:rsidRDefault="00394157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II. INVESTMENT INCENTIVE:</w:t>
      </w:r>
    </w:p>
    <w:p w:rsidR="00394157" w:rsidRPr="00E3361D" w:rsidRDefault="00394157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 xml:space="preserve">1. Land </w:t>
      </w:r>
      <w:r w:rsidR="00A45636"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>rent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:</w:t>
      </w:r>
    </w:p>
    <w:p w:rsidR="00394157" w:rsidRPr="008A51EC" w:rsidRDefault="00394157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r w:rsidRPr="008A51EC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* For Dinh An</w:t>
      </w:r>
      <w:r w:rsidR="00543290" w:rsidRPr="008A51EC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 xml:space="preserve"> EZ</w:t>
      </w:r>
      <w:r w:rsidRPr="008A51EC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:</w:t>
      </w:r>
    </w:p>
    <w:p w:rsidR="0041537C" w:rsidRPr="00E3361D" w:rsidRDefault="00527E48" w:rsidP="00B4013C">
      <w:pPr>
        <w:suppressAutoHyphens/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 </w:t>
      </w:r>
      <w:r w:rsidR="00394157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(According to Decree No. 35/2017/ND-CP dated </w:t>
      </w:r>
      <w:r w:rsidR="00C43477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on April 3, 2017 </w:t>
      </w:r>
      <w:r w:rsidR="00394157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of the Government regulating the land rent, water surface rent </w:t>
      </w:r>
      <w:r w:rsidR="00DF564A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fee </w:t>
      </w:r>
      <w:r w:rsidR="00394157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in</w:t>
      </w:r>
      <w:r w:rsidR="00D22063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EZs</w:t>
      </w:r>
      <w:r w:rsidR="00394157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, </w:t>
      </w:r>
      <w:r w:rsidR="0013370C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h</w:t>
      </w:r>
      <w:r w:rsidR="00394157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igh-</w:t>
      </w:r>
      <w:r w:rsidR="0013370C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t</w:t>
      </w:r>
      <w:r w:rsidR="00394157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ech </w:t>
      </w:r>
      <w:r w:rsidR="0013370C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zone</w:t>
      </w:r>
      <w:r w:rsidR="00BC617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s</w:t>
      </w:r>
      <w:r w:rsidR="00394157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)</w:t>
      </w:r>
      <w:r w:rsidR="00317470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.</w:t>
      </w:r>
    </w:p>
    <w:p w:rsidR="00792F5D" w:rsidRPr="00E3361D" w:rsidRDefault="001F61B5" w:rsidP="00B4013C">
      <w:pPr>
        <w:suppressAutoHyphens/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 </w:t>
      </w:r>
      <w:r w:rsidR="00A6359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Dinh An </w:t>
      </w:r>
      <w:r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EZ </w:t>
      </w:r>
      <w:r w:rsidR="00A6359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covers the districts of Duyen Hai and Tra Cu</w:t>
      </w:r>
      <w:r w:rsidR="009124DD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,</w:t>
      </w:r>
      <w:r w:rsidR="00A6359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Duyen Hai </w:t>
      </w:r>
      <w:r w:rsidR="009942E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d</w:t>
      </w:r>
      <w:r w:rsidR="00A6359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istrict is not included in the list of areas with difficult socio-economic conditions, Tra Cu district belongs to the list of</w:t>
      </w:r>
      <w:r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="00A6359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areas</w:t>
      </w:r>
      <w:r w:rsidR="002C7780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with</w:t>
      </w:r>
      <w:r w:rsidR="00A6359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extremely difficult</w:t>
      </w:r>
      <w:r w:rsidR="002C7780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="002C7780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socio-economic conditions</w:t>
      </w:r>
      <w:r w:rsidR="00A6359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. Depending on the area and location of the investment, the investor</w:t>
      </w:r>
      <w:r w:rsidR="00EC485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s</w:t>
      </w:r>
      <w:r w:rsidR="00A6359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will be entitled to the following investment incentives</w:t>
      </w:r>
      <w:r w:rsidR="0055280D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of land</w:t>
      </w:r>
      <w:r w:rsidR="00A6359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:</w:t>
      </w:r>
    </w:p>
    <w:p w:rsidR="00FD26A7" w:rsidRPr="00E3361D" w:rsidRDefault="00FD26A7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lastRenderedPageBreak/>
        <w:t xml:space="preserve">- Exemption of land rent during the capital construction period but not exceeding 3 years from the date of issuance of the land </w:t>
      </w:r>
      <w:r w:rsidR="000E2AE1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rent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decision issued by a competent state agency.</w:t>
      </w:r>
    </w:p>
    <w:p w:rsidR="0041537C" w:rsidRPr="00E3361D" w:rsidRDefault="00FD26A7" w:rsidP="00B4013C">
      <w:pPr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- Exemption of land rent after the land rent exemption period of </w:t>
      </w:r>
      <w:r w:rsidR="003D493C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basic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construction</w:t>
      </w:r>
      <w:r w:rsidR="004F3639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period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(except for cases</w:t>
      </w:r>
      <w:r w:rsidR="00F44CF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="00A3738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that </w:t>
      </w:r>
      <w:r w:rsidR="00F44CF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the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investors are </w:t>
      </w:r>
      <w:r w:rsidR="00A3738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rented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land by the State for investment in the construction and </w:t>
      </w:r>
      <w:r w:rsidR="00437853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business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of infrastructures in functional quarters in the</w:t>
      </w:r>
      <w:r w:rsidR="006E656D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EZs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):</w:t>
      </w:r>
    </w:p>
    <w:p w:rsidR="002B3203" w:rsidRPr="00E3361D" w:rsidRDefault="002B3203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+ 11 years for</w:t>
      </w:r>
      <w:r w:rsidR="005A04D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project</w:t>
      </w:r>
      <w:r w:rsidR="004F1D79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s</w:t>
      </w:r>
      <w:r w:rsidR="005A04D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="004F1D79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are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not included in the list of preferential investment field</w:t>
      </w:r>
      <w:r w:rsidR="0021470C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,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invested in </w:t>
      </w:r>
      <w:r w:rsidR="00D6288D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the </w:t>
      </w:r>
      <w:r w:rsidR="00971342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E</w:t>
      </w:r>
      <w:r w:rsidR="009C5D51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Zs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located in the district level not included in the list of areas for investment incentive</w:t>
      </w:r>
      <w:r w:rsidR="00512F5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s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.</w:t>
      </w:r>
    </w:p>
    <w:p w:rsidR="008F6AC1" w:rsidRPr="00E3361D" w:rsidRDefault="002B3203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+ 15 years for </w:t>
      </w:r>
      <w:r w:rsidR="00DB0925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the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project</w:t>
      </w:r>
      <w:r w:rsidR="00DF658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s</w:t>
      </w:r>
      <w:r w:rsidR="00B529C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="00DF658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are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not included in the list of preferential investment fields invested in </w:t>
      </w:r>
      <w:r w:rsidR="00B918EA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the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economic zone</w:t>
      </w:r>
      <w:r w:rsidR="00D613F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s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located in the district level in areas with extremely difficult socio-economic conditions; </w:t>
      </w:r>
      <w:r w:rsidR="00977F23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p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roject</w:t>
      </w:r>
      <w:r w:rsidR="00011446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s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on the list of investment preferential </w:t>
      </w:r>
      <w:r w:rsidR="00183CE5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field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invest</w:t>
      </w:r>
      <w:r w:rsidR="003B3D83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ed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in </w:t>
      </w:r>
      <w:r w:rsidR="009E1AAC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the </w:t>
      </w:r>
      <w:r w:rsidR="00C50897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EZs</w:t>
      </w:r>
      <w:r w:rsidR="00C50897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located in the district not on the list of </w:t>
      </w:r>
      <w:r w:rsidR="00452EE4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preferential investment field</w:t>
      </w:r>
      <w:r w:rsidR="00115ECA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.</w:t>
      </w:r>
    </w:p>
    <w:p w:rsidR="0041537C" w:rsidRPr="00E3361D" w:rsidRDefault="002B3203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+ 19 years for project</w:t>
      </w:r>
      <w:r w:rsidR="00D5510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s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</w:t>
      </w:r>
      <w:r w:rsidR="00CC5D31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in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the list of investment incentive </w:t>
      </w:r>
      <w:r w:rsidR="00BF067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area</w:t>
      </w:r>
      <w:r w:rsidR="00200BF6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,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invested in </w:t>
      </w:r>
      <w:r w:rsidR="00B11A25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the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economic zone located in</w:t>
      </w:r>
      <w:r w:rsidR="00B11A25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the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district with</w:t>
      </w:r>
      <w:r w:rsidR="002E310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extremely difficult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socio-economic </w:t>
      </w:r>
      <w:r w:rsidR="002E310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conditions.</w:t>
      </w:r>
    </w:p>
    <w:p w:rsidR="002A24FB" w:rsidRPr="00E3361D" w:rsidRDefault="002A24FB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- Exemption </w:t>
      </w:r>
      <w:r w:rsidR="00F4370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the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land rent</w:t>
      </w:r>
      <w:r w:rsidR="00552032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,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water</w:t>
      </w:r>
      <w:r w:rsidR="00552032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surface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rent </w:t>
      </w:r>
      <w:r w:rsidR="00335B00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fee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for the whole </w:t>
      </w:r>
      <w:r w:rsidR="00356B7D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rent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term (</w:t>
      </w:r>
      <w:r w:rsidR="009127CE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except for cases</w:t>
      </w:r>
      <w:r w:rsidR="007F410A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that</w:t>
      </w:r>
      <w:r w:rsidR="009127C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the</w:t>
      </w:r>
      <w:r w:rsidR="009127CE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investors are leased land by the State for investment in the construction and </w:t>
      </w:r>
      <w:r w:rsidR="009127C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business</w:t>
      </w:r>
      <w:r w:rsidR="009127CE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of infrastructures in functional quarters in the econom</w:t>
      </w:r>
      <w:r w:rsidR="009127C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ic zone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):</w:t>
      </w:r>
    </w:p>
    <w:p w:rsidR="002A24FB" w:rsidRPr="00E3361D" w:rsidRDefault="002A24FB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+ Projects in the fields of special investment incentive.</w:t>
      </w:r>
    </w:p>
    <w:p w:rsidR="0041537C" w:rsidRPr="00E3361D" w:rsidRDefault="002A24FB" w:rsidP="00B4013C">
      <w:pPr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+ Investment project to build houses for </w:t>
      </w:r>
      <w:r w:rsidR="00F87929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employees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in </w:t>
      </w:r>
      <w:r w:rsidR="008731A6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EZs.</w:t>
      </w:r>
    </w:p>
    <w:p w:rsidR="0041537C" w:rsidRPr="00E3361D" w:rsidRDefault="00047F22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- </w:t>
      </w:r>
      <w:r w:rsidR="00B704CA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I</w:t>
      </w:r>
      <w:r w:rsidR="00E36B8E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nvestors are leased land by the State for investment in the construction and </w:t>
      </w:r>
      <w:r w:rsidR="00E36B8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business</w:t>
      </w:r>
      <w:r w:rsidR="00E36B8E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of infrastructures in functional quarters in the econom</w:t>
      </w:r>
      <w:r w:rsidR="00E36B8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ic zone</w:t>
      </w:r>
      <w:r w:rsidR="00E36B8E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shall be exempt</w:t>
      </w:r>
      <w:r w:rsidR="001C3A5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ed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land rent after the land rent exemption period during the </w:t>
      </w:r>
      <w:r w:rsidR="006E0CE5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basic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construction period:</w:t>
      </w:r>
    </w:p>
    <w:p w:rsidR="00FC77C8" w:rsidRPr="00E3361D" w:rsidRDefault="00FC77C8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lastRenderedPageBreak/>
        <w:t xml:space="preserve">+ 11 years if </w:t>
      </w:r>
      <w:r w:rsidR="00C12520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the project is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invest</w:t>
      </w:r>
      <w:r w:rsidR="00C12520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ed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in the district level not included in the list of investment incentive</w:t>
      </w:r>
      <w:r w:rsidR="009B1A75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areas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.</w:t>
      </w:r>
    </w:p>
    <w:p w:rsidR="00407CD0" w:rsidRPr="00E3361D" w:rsidRDefault="00FC77C8" w:rsidP="00B4013C">
      <w:pPr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+ The entire </w:t>
      </w:r>
      <w:r w:rsidR="00A6034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rent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</w:t>
      </w:r>
      <w:r w:rsidR="00A6034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period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if </w:t>
      </w:r>
      <w:r w:rsidR="00635DB4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the project is</w:t>
      </w:r>
      <w:r w:rsidR="00635DB4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invest</w:t>
      </w:r>
      <w:r w:rsidR="00635DB4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ed</w:t>
      </w:r>
      <w:r w:rsidR="00635DB4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in the district level</w:t>
      </w:r>
      <w:r w:rsidR="00444E75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in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the list of areas with specially difficult socio-economic conditions.</w:t>
      </w:r>
    </w:p>
    <w:p w:rsidR="00491B70" w:rsidRPr="00E3361D" w:rsidRDefault="00491B70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* For Cau Quan</w:t>
      </w:r>
      <w:r w:rsidR="005F69AB"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 xml:space="preserve"> and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 xml:space="preserve"> Co Chien</w:t>
      </w:r>
      <w:r w:rsidR="005F69AB"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 xml:space="preserve"> </w:t>
      </w:r>
      <w:r w:rsidR="00BE6168"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>IZ</w:t>
      </w:r>
      <w:r w:rsidR="00620204"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>s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:</w:t>
      </w:r>
    </w:p>
    <w:p w:rsidR="00407CD0" w:rsidRPr="00E3361D" w:rsidRDefault="00491B70" w:rsidP="00B4013C">
      <w:pPr>
        <w:spacing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(According to Decree 46/2014/ND-CP dated </w:t>
      </w:r>
      <w:r w:rsidR="002F4C49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on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15 May</w:t>
      </w:r>
      <w:r w:rsidR="002F4C49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,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2014 of the Government regulating the</w:t>
      </w:r>
      <w:r w:rsidR="0043692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land rent and water surface rent</w:t>
      </w:r>
      <w:r w:rsidR="001D748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fee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).</w:t>
      </w:r>
    </w:p>
    <w:p w:rsidR="00484F20" w:rsidRPr="00E3361D" w:rsidRDefault="00484F20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- Exemption </w:t>
      </w:r>
      <w:r w:rsidR="008852F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the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land rent or water surface rent</w:t>
      </w:r>
      <w:r w:rsidR="008852F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fee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for the whole </w:t>
      </w:r>
      <w:r w:rsidR="008852F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rent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term for </w:t>
      </w:r>
      <w:r w:rsidR="008852F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the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land used for construction of infrastructure in IZ</w:t>
      </w:r>
      <w:r w:rsidR="002F4C49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s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according to the regulations approved by the competent authority defined in </w:t>
      </w:r>
      <w:r w:rsidR="005E0E72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lause 2, </w:t>
      </w:r>
      <w:r w:rsidR="005E0E72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rticle 149 of the Land Law</w:t>
      </w:r>
      <w:r w:rsidR="00E53DA2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(</w:t>
      </w:r>
      <w:r w:rsidR="00C02351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lause 1, </w:t>
      </w:r>
      <w:r w:rsidR="00C02351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rticle 19 of Decree No. 46/2014/ ND-CP).</w:t>
      </w:r>
    </w:p>
    <w:p w:rsidR="00552C69" w:rsidRPr="00E3361D" w:rsidRDefault="00770861" w:rsidP="00B4013C">
      <w:pPr>
        <w:spacing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- Exemption of </w:t>
      </w:r>
      <w:r w:rsidR="000D1D5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the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land rent or water surface rent</w:t>
      </w:r>
      <w:r w:rsidR="000D1D5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fee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during the period of </w:t>
      </w:r>
      <w:r w:rsidR="00B8552C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basic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construction under the projects approved by competent authorities, which must not exceed 3 years from the date of </w:t>
      </w:r>
      <w:r w:rsidR="00BA0D01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land </w:t>
      </w:r>
      <w:r w:rsidR="005B50E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and </w:t>
      </w:r>
      <w:r w:rsidR="004C63D9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water surface</w:t>
      </w:r>
      <w:r w:rsidR="005B50E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rent</w:t>
      </w:r>
      <w:r w:rsidR="004C63D9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decision</w:t>
      </w:r>
      <w:r w:rsidR="00D36B74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(</w:t>
      </w:r>
      <w:r w:rsidR="00A05A1D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lause 2, </w:t>
      </w:r>
      <w:r w:rsidR="00725BC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rticle 19 of Decree 46/2014/ND-CP).</w:t>
      </w:r>
    </w:p>
    <w:p w:rsidR="002064D4" w:rsidRPr="00E3361D" w:rsidRDefault="00B65F61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- Exemption of land </w:t>
      </w:r>
      <w:r w:rsidR="0041523D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and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water surface rent</w:t>
      </w:r>
      <w:r w:rsidR="00D33D21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fee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after the time of land </w:t>
      </w:r>
      <w:r w:rsidR="00F0158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and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water surface rent exemption </w:t>
      </w:r>
      <w:r w:rsidR="00F0158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in basic construction period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for investment projects in industrial zones:</w:t>
      </w:r>
    </w:p>
    <w:p w:rsidR="0082148B" w:rsidRPr="00E3361D" w:rsidRDefault="0082148B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+ Seven years for investment projects in industrial zones (</w:t>
      </w:r>
      <w:r w:rsidR="00466BF1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p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oint b, </w:t>
      </w:r>
      <w:r w:rsidR="00466BF1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lause 3, </w:t>
      </w:r>
      <w:r w:rsidR="00466BF1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rticle 19 of Decree No. 46/2014/ND-CP);</w:t>
      </w:r>
    </w:p>
    <w:p w:rsidR="0082148B" w:rsidRPr="00E3361D" w:rsidRDefault="0082148B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+ Eleven years for projects </w:t>
      </w:r>
      <w:r w:rsidR="002B06A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in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the list of investment incentive areas invested in industrial zones (</w:t>
      </w:r>
      <w:r w:rsidR="002B06A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p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oint c, </w:t>
      </w:r>
      <w:r w:rsidR="002B06A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lause 3, </w:t>
      </w:r>
      <w:r w:rsidR="002B06A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rticle 19 of Decree No. 46/2014/ND-CP);</w:t>
      </w:r>
    </w:p>
    <w:p w:rsidR="00F07459" w:rsidRPr="00E3361D" w:rsidRDefault="0082148B" w:rsidP="00B4013C">
      <w:pPr>
        <w:spacing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+ Fifteen years for projects </w:t>
      </w:r>
      <w:r w:rsidR="00675C24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in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the list of special investment incentive invested in industrial zones </w:t>
      </w:r>
      <w:r w:rsidR="00675C24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(</w:t>
      </w:r>
      <w:r w:rsidR="00675C24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p</w:t>
      </w:r>
      <w:r w:rsidR="00675C24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oint c, </w:t>
      </w:r>
      <w:r w:rsidR="00675C24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</w:t>
      </w:r>
      <w:r w:rsidR="00675C24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lause 3, </w:t>
      </w:r>
      <w:r w:rsidR="00675C24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="00675C24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rticle 19 of Decree No. 46/2014/ND-CP)</w:t>
      </w:r>
      <w:r w:rsidR="00544F1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.</w:t>
      </w:r>
    </w:p>
    <w:p w:rsidR="00B10DF8" w:rsidRPr="00E3361D" w:rsidRDefault="00B10DF8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2. For enterprise income tax:</w:t>
      </w:r>
    </w:p>
    <w:p w:rsidR="00E15F72" w:rsidRPr="00E3361D" w:rsidRDefault="00B10DF8" w:rsidP="00B4013C">
      <w:pPr>
        <w:spacing w:after="120" w:line="36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a) Long Duc, Cau Quan, Co Chien</w:t>
      </w:r>
      <w:r w:rsidR="00F4167C"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 xml:space="preserve"> IZ</w:t>
      </w:r>
      <w:r w:rsidR="007B2D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>s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:</w:t>
      </w:r>
    </w:p>
    <w:p w:rsidR="000D66CD" w:rsidRPr="00E3361D" w:rsidRDefault="000D66CD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- The tax rate of 17% for 10 years for enterprises' income</w:t>
      </w:r>
      <w:r w:rsidR="00CE74F2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from new investment projects in areas with difficult socio-economic conditions.</w:t>
      </w:r>
    </w:p>
    <w:p w:rsidR="00E15F72" w:rsidRPr="00E3361D" w:rsidRDefault="000D66CD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(</w:t>
      </w:r>
      <w:r w:rsidR="00C20FCD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P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oint a, </w:t>
      </w:r>
      <w:r w:rsidR="00CA79A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lause 3, </w:t>
      </w:r>
      <w:r w:rsidR="00CA79A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rticle 15 of Decree No. 218/2013/ND-CP)</w:t>
      </w:r>
    </w:p>
    <w:p w:rsidR="009763D3" w:rsidRPr="00E3361D" w:rsidRDefault="009763D3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lastRenderedPageBreak/>
        <w:t>- Tax exemption for 02 years, reduction of 50% of payable tax for 4 subsequent years on income of enterprises from new investment projects in areas with difficult socio-economic conditions.</w:t>
      </w:r>
    </w:p>
    <w:p w:rsidR="00B119B0" w:rsidRPr="00E3361D" w:rsidRDefault="009763D3" w:rsidP="00B4013C">
      <w:pPr>
        <w:tabs>
          <w:tab w:val="left" w:pos="0"/>
          <w:tab w:val="left" w:pos="567"/>
          <w:tab w:val="left" w:pos="720"/>
        </w:tabs>
        <w:spacing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(</w:t>
      </w:r>
      <w:r w:rsidR="00654B13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lause 3</w:t>
      </w:r>
      <w:r w:rsidR="00C75755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,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</w:t>
      </w:r>
      <w:r w:rsidR="00C75755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rticle 16 of Decree No. 218/2013/ND-CP)</w:t>
      </w:r>
    </w:p>
    <w:p w:rsidR="004F77E3" w:rsidRPr="00E3361D" w:rsidRDefault="004F77E3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b) Dinh An</w:t>
      </w:r>
      <w:r w:rsidR="007E010B"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 xml:space="preserve"> EZ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:</w:t>
      </w:r>
    </w:p>
    <w:p w:rsidR="004F77E3" w:rsidRPr="00E3361D" w:rsidRDefault="004F77E3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- For new investment projects:</w:t>
      </w:r>
    </w:p>
    <w:p w:rsidR="00B119B0" w:rsidRPr="00E3361D" w:rsidRDefault="004F77E3" w:rsidP="00B4013C">
      <w:pPr>
        <w:spacing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+ Tax rate: Preferential tax rate of 10% for 15 years for enterprises' income from the implementation of new investment projects in economic zone</w:t>
      </w:r>
      <w:r w:rsidR="00850A76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s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(</w:t>
      </w:r>
      <w:r w:rsidR="001263A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p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oint a, </w:t>
      </w:r>
      <w:r w:rsidR="001263A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lause 1, </w:t>
      </w:r>
      <w:r w:rsidR="001263A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rticle 15 of Decree No. 218/2013/ND-CP).</w:t>
      </w:r>
    </w:p>
    <w:p w:rsidR="00B119B0" w:rsidRPr="00E3361D" w:rsidRDefault="003F6A60" w:rsidP="00B4013C">
      <w:pPr>
        <w:spacing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+ Tax exemption and reduction: The tax exemption for </w:t>
      </w:r>
      <w:r w:rsidR="00921012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04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years, 50% reduction of the payable tax for the next 9 years for the enterprise's income from the implementation of new investment projects in the economic zone (point a</w:t>
      </w:r>
      <w:r w:rsidR="00555303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,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</w:t>
      </w:r>
      <w:r w:rsidR="00555303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cl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ause 1, </w:t>
      </w:r>
      <w:r w:rsidR="00837C2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rticle 16 of Decree No. 218/2013/ND-CP).</w:t>
      </w:r>
    </w:p>
    <w:p w:rsidR="00AA763A" w:rsidRPr="00E3361D" w:rsidRDefault="00AA763A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- For expansion investment projects:</w:t>
      </w:r>
    </w:p>
    <w:p w:rsidR="00AA763A" w:rsidRPr="00E3361D" w:rsidRDefault="00AA763A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+ Tax exemption and reduction: Tax exemption for 4 years, reduction of 50% of tax in the next 9 years for enterprises' income from implementation of expansion investment projects in economic zones (</w:t>
      </w:r>
      <w:r w:rsidR="0080093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lause 5</w:t>
      </w:r>
      <w:r w:rsidR="0080093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,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</w:t>
      </w:r>
      <w:r w:rsidR="0080093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rticle 16 of Decree No. 218/2013/ND-CP).</w:t>
      </w:r>
    </w:p>
    <w:p w:rsidR="00AA763A" w:rsidRPr="00E3361D" w:rsidRDefault="00D979A9" w:rsidP="00B4013C">
      <w:pPr>
        <w:spacing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  </w:t>
      </w:r>
      <w:r w:rsidR="00AA763A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An </w:t>
      </w:r>
      <w:r w:rsidR="004125A0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expansion </w:t>
      </w:r>
      <w:r w:rsidR="00AA763A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investment project must satisfy one of the criteria specified in </w:t>
      </w:r>
      <w:r w:rsidR="00E31BF3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</w:t>
      </w:r>
      <w:r w:rsidR="00AA763A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lause 5, </w:t>
      </w:r>
      <w:r w:rsidR="00E31BF3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="00AA763A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rticle 16 of Decree No. 218/2013</w:t>
      </w:r>
      <w:r w:rsidR="00DD062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/</w:t>
      </w:r>
      <w:r w:rsidR="00AA763A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ND-CP:</w:t>
      </w:r>
    </w:p>
    <w:p w:rsidR="00B052E6" w:rsidRPr="00E3361D" w:rsidRDefault="00B052E6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•  The cost of </w:t>
      </w:r>
      <w:r w:rsidR="002B651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fixed </w:t>
      </w:r>
      <w:r w:rsidR="003D1E9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possession</w:t>
      </w:r>
      <w:r w:rsidR="00503410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increases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when the project is completed and put into operation </w:t>
      </w:r>
      <w:r w:rsidR="00E15909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reaching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at least VND 20 billion for the expansion investment projects in the</w:t>
      </w:r>
      <w:r w:rsidR="00F102A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tax in</w:t>
      </w:r>
      <w:r w:rsidR="00DA78B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centive areas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</w:t>
      </w:r>
      <w:r w:rsidR="003E2F8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for private enterprises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under the provisions of this Decree or from VND 10 billion for expansion investment projects in areas with extremely difficult socio-economic conditions according to the provisions of </w:t>
      </w:r>
      <w:r w:rsidR="003710F4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the law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on </w:t>
      </w:r>
      <w:r w:rsidR="003710F4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private enterprise tax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;</w:t>
      </w:r>
    </w:p>
    <w:p w:rsidR="00B052E6" w:rsidRPr="00E3361D" w:rsidRDefault="00B052E6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•  </w:t>
      </w:r>
      <w:r w:rsidR="004D4B23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T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he fixed </w:t>
      </w:r>
      <w:r w:rsidR="004D4B23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possession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</w:t>
      </w:r>
      <w:r w:rsidR="00B95F51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increases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20% </w:t>
      </w:r>
      <w:r w:rsidR="00A50A64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compared </w:t>
      </w:r>
      <w:r w:rsidR="002674DA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to</w:t>
      </w:r>
      <w:r w:rsidR="00A50A64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the total</w:t>
      </w:r>
      <w:r w:rsidR="00FF128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of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fixed </w:t>
      </w:r>
      <w:r w:rsidR="00FF128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possession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before investment;</w:t>
      </w:r>
    </w:p>
    <w:p w:rsidR="00F108FE" w:rsidRPr="00E3361D" w:rsidRDefault="00B052E6" w:rsidP="00B4013C">
      <w:pPr>
        <w:spacing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lastRenderedPageBreak/>
        <w:t xml:space="preserve">• </w:t>
      </w:r>
      <w:r w:rsidR="0045380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apacity increase</w:t>
      </w:r>
      <w:r w:rsidR="00B75280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s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</w:t>
      </w:r>
      <w:r w:rsidR="008534F7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at least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20% compared to designed capacity before investment.</w:t>
      </w:r>
    </w:p>
    <w:p w:rsidR="00521A93" w:rsidRPr="00E3361D" w:rsidRDefault="00521A93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3. For export tax and import tax:</w:t>
      </w:r>
    </w:p>
    <w:p w:rsidR="00521A93" w:rsidRPr="00E3361D" w:rsidRDefault="006E1A4B" w:rsidP="00B4013C">
      <w:pPr>
        <w:spacing w:before="120" w:after="100" w:afterAutospacing="1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  </w:t>
      </w:r>
      <w:r w:rsidR="00BD0299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Raw </w:t>
      </w:r>
      <w:r w:rsidR="00521A9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materials</w:t>
      </w:r>
      <w:r w:rsidR="005926EA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and</w:t>
      </w:r>
      <w:r w:rsidR="00521A9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</w:t>
      </w:r>
      <w:r w:rsidR="00BD0299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components</w:t>
      </w:r>
      <w:r w:rsidR="00085A10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="00521A9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which can not be produced </w:t>
      </w:r>
      <w:r w:rsidR="001F44F6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in the country</w:t>
      </w:r>
      <w:r w:rsidR="001D65E4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are imported</w:t>
      </w:r>
      <w:r w:rsidR="00521A9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for production </w:t>
      </w:r>
      <w:r w:rsidR="007E3081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of </w:t>
      </w:r>
      <w:r w:rsidR="00521A9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the investment projects exempt</w:t>
      </w:r>
      <w:r w:rsidR="007E3081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ed</w:t>
      </w:r>
      <w:r w:rsidR="00521A9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</w:t>
      </w:r>
      <w:r w:rsidR="007E3081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the </w:t>
      </w:r>
      <w:r w:rsidR="00521A9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import tax for a period of 5 years from the commencement of production in accordance with </w:t>
      </w:r>
      <w:r w:rsidR="004D5162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</w:t>
      </w:r>
      <w:r w:rsidR="00521A9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lause 13, </w:t>
      </w:r>
      <w:r w:rsidR="004D5162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="00521A9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rticle 16 of the Law</w:t>
      </w:r>
      <w:r w:rsidR="004D5162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of</w:t>
      </w:r>
      <w:r w:rsidR="00521A9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export tax and import tax. (</w:t>
      </w:r>
      <w:r w:rsidR="004D5162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</w:t>
      </w:r>
      <w:r w:rsidR="00521A9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lause 1, </w:t>
      </w:r>
      <w:r w:rsidR="004D5162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="00521A9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rticle 15 of Decree No. 134/2016/ND-CP detailing the implementation of a number of articles and measures for implementation of the Law on </w:t>
      </w:r>
      <w:r w:rsidR="007C4417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e</w:t>
      </w:r>
      <w:r w:rsidR="00521A9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xport </w:t>
      </w:r>
      <w:r w:rsidR="007C4417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t</w:t>
      </w:r>
      <w:r w:rsidR="00521A9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ax and </w:t>
      </w:r>
      <w:r w:rsidR="007C4417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i</w:t>
      </w:r>
      <w:r w:rsidR="00521A9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mport </w:t>
      </w:r>
      <w:r w:rsidR="007C4417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t</w:t>
      </w:r>
      <w:r w:rsidR="00521A9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ax).</w:t>
      </w:r>
    </w:p>
    <w:p w:rsidR="00687661" w:rsidRPr="00B53C3A" w:rsidRDefault="00553A23" w:rsidP="00B4013C">
      <w:pPr>
        <w:spacing w:after="120" w:line="36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x-none"/>
        </w:rPr>
      </w:pPr>
      <w:r w:rsidRPr="00B53C3A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4. For personal income tax:</w:t>
      </w:r>
    </w:p>
    <w:p w:rsidR="00CE5FF0" w:rsidRDefault="00687661" w:rsidP="00B4013C">
      <w:pPr>
        <w:spacing w:after="120" w:line="360" w:lineRule="auto"/>
        <w:jc w:val="both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  </w:t>
      </w:r>
      <w:r w:rsidR="00553A2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50% reduction of personal income tax</w:t>
      </w:r>
      <w:r w:rsidR="00AF4A6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for people</w:t>
      </w:r>
      <w:r w:rsidR="008321C3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who</w:t>
      </w:r>
      <w:r w:rsidR="00E36F43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="0068140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must </w:t>
      </w:r>
      <w:r w:rsidR="00E36F43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pay</w:t>
      </w:r>
      <w:r w:rsidR="00553A2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</w:t>
      </w:r>
      <w:r w:rsidR="00232C37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personal </w:t>
      </w:r>
      <w:r w:rsidR="00553A2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income</w:t>
      </w:r>
      <w:r w:rsidR="0043529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tax</w:t>
      </w:r>
      <w:r w:rsidR="00553A2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, including Vietnamese and foreigners working in economic zones (</w:t>
      </w:r>
      <w:r w:rsidR="004E5A1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</w:t>
      </w:r>
      <w:r w:rsidR="00553A2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lause 5, </w:t>
      </w:r>
      <w:r w:rsidR="004E5A1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="00553A2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rticle 16 of Decree No. 29/2008/ND- CP).</w:t>
      </w:r>
    </w:p>
    <w:p w:rsidR="000E0287" w:rsidRPr="00E3361D" w:rsidRDefault="000E0287" w:rsidP="00B4013C">
      <w:pPr>
        <w:spacing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4E1826" w:rsidRPr="00E3361D" w:rsidRDefault="000A195D" w:rsidP="00B4013C">
      <w:pPr>
        <w:spacing w:after="120" w:line="36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3361D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="00371E82" w:rsidRPr="00E3361D">
        <w:rPr>
          <w:rFonts w:asciiTheme="majorHAnsi" w:hAnsiTheme="majorHAnsi" w:cstheme="majorHAnsi"/>
          <w:b/>
          <w:bCs/>
          <w:sz w:val="28"/>
          <w:szCs w:val="28"/>
        </w:rPr>
        <w:t>II</w:t>
      </w:r>
      <w:r w:rsidRPr="00E3361D">
        <w:rPr>
          <w:rFonts w:asciiTheme="majorHAnsi" w:hAnsiTheme="majorHAnsi" w:cstheme="majorHAnsi"/>
          <w:b/>
          <w:bCs/>
          <w:sz w:val="28"/>
          <w:szCs w:val="28"/>
        </w:rPr>
        <w:t xml:space="preserve">. Investment support acording to </w:t>
      </w:r>
      <w:r w:rsidR="00867DD4" w:rsidRPr="00E3361D">
        <w:rPr>
          <w:rFonts w:asciiTheme="majorHAnsi" w:hAnsiTheme="majorHAnsi" w:cstheme="majorHAnsi"/>
          <w:b/>
          <w:bCs/>
          <w:sz w:val="28"/>
          <w:szCs w:val="28"/>
        </w:rPr>
        <w:t>the</w:t>
      </w:r>
      <w:r w:rsidRPr="00E3361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6A396E" w:rsidRPr="00E3361D">
        <w:rPr>
          <w:rFonts w:asciiTheme="majorHAnsi" w:hAnsiTheme="majorHAnsi" w:cstheme="majorHAnsi"/>
          <w:b/>
          <w:bCs/>
          <w:sz w:val="28"/>
          <w:szCs w:val="28"/>
        </w:rPr>
        <w:t>R</w:t>
      </w:r>
      <w:r w:rsidRPr="00E3361D">
        <w:rPr>
          <w:rFonts w:asciiTheme="majorHAnsi" w:hAnsiTheme="majorHAnsi" w:cstheme="majorHAnsi"/>
          <w:b/>
          <w:bCs/>
          <w:sz w:val="28"/>
          <w:szCs w:val="28"/>
        </w:rPr>
        <w:t xml:space="preserve">esolution </w:t>
      </w:r>
      <w:r w:rsidR="006A396E" w:rsidRPr="00E3361D">
        <w:rPr>
          <w:rFonts w:asciiTheme="majorHAnsi" w:hAnsiTheme="majorHAnsi" w:cstheme="majorHAnsi"/>
          <w:b/>
          <w:bCs/>
          <w:sz w:val="28"/>
          <w:szCs w:val="28"/>
        </w:rPr>
        <w:t>N</w:t>
      </w:r>
      <w:r w:rsidRPr="00E3361D">
        <w:rPr>
          <w:rFonts w:asciiTheme="majorHAnsi" w:hAnsiTheme="majorHAnsi" w:cstheme="majorHAnsi"/>
          <w:b/>
          <w:bCs/>
          <w:sz w:val="28"/>
          <w:szCs w:val="28"/>
        </w:rPr>
        <w:t>o. 11/2016</w:t>
      </w:r>
      <w:r w:rsidR="004E1826" w:rsidRPr="00E3361D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4C0A19" w:rsidRPr="00E3361D">
        <w:rPr>
          <w:rFonts w:asciiTheme="majorHAnsi" w:hAnsiTheme="majorHAnsi" w:cstheme="majorHAnsi"/>
          <w:b/>
          <w:bCs/>
          <w:sz w:val="28"/>
          <w:szCs w:val="28"/>
        </w:rPr>
        <w:t xml:space="preserve">NQ-HDND </w:t>
      </w:r>
      <w:r w:rsidRPr="00E3361D">
        <w:rPr>
          <w:rFonts w:asciiTheme="majorHAnsi" w:hAnsiTheme="majorHAnsi" w:cstheme="majorHAnsi"/>
          <w:b/>
          <w:bCs/>
          <w:sz w:val="28"/>
          <w:szCs w:val="28"/>
        </w:rPr>
        <w:t xml:space="preserve">dated on </w:t>
      </w:r>
      <w:r w:rsidR="00D72115" w:rsidRPr="00E3361D">
        <w:rPr>
          <w:rFonts w:asciiTheme="majorHAnsi" w:hAnsiTheme="majorHAnsi" w:cstheme="majorHAnsi"/>
          <w:b/>
          <w:bCs/>
          <w:sz w:val="28"/>
          <w:szCs w:val="28"/>
        </w:rPr>
        <w:t>D</w:t>
      </w:r>
      <w:r w:rsidRPr="00E3361D">
        <w:rPr>
          <w:rFonts w:asciiTheme="majorHAnsi" w:hAnsiTheme="majorHAnsi" w:cstheme="majorHAnsi"/>
          <w:b/>
          <w:bCs/>
          <w:sz w:val="28"/>
          <w:szCs w:val="28"/>
        </w:rPr>
        <w:t>e</w:t>
      </w:r>
      <w:r w:rsidR="00703A1F" w:rsidRPr="00E3361D">
        <w:rPr>
          <w:rFonts w:asciiTheme="majorHAnsi" w:hAnsiTheme="majorHAnsi" w:cstheme="majorHAnsi"/>
          <w:b/>
          <w:bCs/>
          <w:sz w:val="28"/>
          <w:szCs w:val="28"/>
        </w:rPr>
        <w:t xml:space="preserve">cember </w:t>
      </w:r>
      <w:r w:rsidR="004E1826" w:rsidRPr="00E3361D">
        <w:rPr>
          <w:rFonts w:asciiTheme="majorHAnsi" w:hAnsiTheme="majorHAnsi" w:cstheme="majorHAnsi"/>
          <w:b/>
          <w:bCs/>
          <w:sz w:val="28"/>
          <w:szCs w:val="28"/>
        </w:rPr>
        <w:t>8</w:t>
      </w:r>
      <w:r w:rsidR="00703A1F" w:rsidRPr="00E3361D">
        <w:rPr>
          <w:rFonts w:asciiTheme="majorHAnsi" w:hAnsiTheme="majorHAnsi" w:cstheme="majorHAnsi"/>
          <w:b/>
          <w:bCs/>
          <w:sz w:val="28"/>
          <w:szCs w:val="28"/>
        </w:rPr>
        <w:t xml:space="preserve">, </w:t>
      </w:r>
      <w:r w:rsidR="004E1826" w:rsidRPr="00E3361D">
        <w:rPr>
          <w:rFonts w:asciiTheme="majorHAnsi" w:hAnsiTheme="majorHAnsi" w:cstheme="majorHAnsi"/>
          <w:b/>
          <w:bCs/>
          <w:sz w:val="28"/>
          <w:szCs w:val="28"/>
        </w:rPr>
        <w:t xml:space="preserve">2016 and </w:t>
      </w:r>
      <w:r w:rsidR="00867DD4" w:rsidRPr="00E3361D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074980" w:rsidRPr="00E3361D">
        <w:rPr>
          <w:rFonts w:asciiTheme="majorHAnsi" w:hAnsiTheme="majorHAnsi" w:cstheme="majorHAnsi"/>
          <w:b/>
          <w:bCs/>
          <w:sz w:val="28"/>
          <w:szCs w:val="28"/>
        </w:rPr>
        <w:t>R</w:t>
      </w:r>
      <w:r w:rsidRPr="00E3361D">
        <w:rPr>
          <w:rFonts w:asciiTheme="majorHAnsi" w:hAnsiTheme="majorHAnsi" w:cstheme="majorHAnsi"/>
          <w:b/>
          <w:bCs/>
          <w:sz w:val="28"/>
          <w:szCs w:val="28"/>
        </w:rPr>
        <w:t xml:space="preserve">esolution </w:t>
      </w:r>
      <w:r w:rsidR="00454EB9" w:rsidRPr="00E3361D">
        <w:rPr>
          <w:rFonts w:asciiTheme="majorHAnsi" w:hAnsiTheme="majorHAnsi" w:cstheme="majorHAnsi"/>
          <w:b/>
          <w:bCs/>
          <w:sz w:val="28"/>
          <w:szCs w:val="28"/>
        </w:rPr>
        <w:t>No</w:t>
      </w:r>
      <w:r w:rsidRPr="00E3361D">
        <w:rPr>
          <w:rFonts w:asciiTheme="majorHAnsi" w:hAnsiTheme="majorHAnsi" w:cstheme="majorHAnsi"/>
          <w:b/>
          <w:bCs/>
          <w:sz w:val="28"/>
          <w:szCs w:val="28"/>
        </w:rPr>
        <w:t>. 52/2017</w:t>
      </w:r>
      <w:r w:rsidR="004E1826" w:rsidRPr="00E3361D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4C0A19" w:rsidRPr="00E3361D">
        <w:rPr>
          <w:rFonts w:asciiTheme="majorHAnsi" w:hAnsiTheme="majorHAnsi" w:cstheme="majorHAnsi"/>
          <w:b/>
          <w:bCs/>
          <w:sz w:val="28"/>
          <w:szCs w:val="28"/>
        </w:rPr>
        <w:t xml:space="preserve">NQ-HDND </w:t>
      </w:r>
      <w:r w:rsidRPr="00E3361D">
        <w:rPr>
          <w:rFonts w:asciiTheme="majorHAnsi" w:hAnsiTheme="majorHAnsi" w:cstheme="majorHAnsi"/>
          <w:b/>
          <w:bCs/>
          <w:sz w:val="28"/>
          <w:szCs w:val="28"/>
        </w:rPr>
        <w:t xml:space="preserve">dated on </w:t>
      </w:r>
      <w:r w:rsidR="00297311" w:rsidRPr="00E3361D">
        <w:rPr>
          <w:rFonts w:asciiTheme="majorHAnsi" w:hAnsiTheme="majorHAnsi" w:cstheme="majorHAnsi"/>
          <w:b/>
          <w:bCs/>
          <w:sz w:val="28"/>
          <w:szCs w:val="28"/>
        </w:rPr>
        <w:t>D</w:t>
      </w:r>
      <w:r w:rsidRPr="00E3361D">
        <w:rPr>
          <w:rFonts w:asciiTheme="majorHAnsi" w:hAnsiTheme="majorHAnsi" w:cstheme="majorHAnsi"/>
          <w:b/>
          <w:bCs/>
          <w:sz w:val="28"/>
          <w:szCs w:val="28"/>
        </w:rPr>
        <w:t xml:space="preserve">ecember </w:t>
      </w:r>
      <w:r w:rsidR="004E1826" w:rsidRPr="00E3361D">
        <w:rPr>
          <w:rFonts w:asciiTheme="majorHAnsi" w:hAnsiTheme="majorHAnsi" w:cstheme="majorHAnsi"/>
          <w:b/>
          <w:bCs/>
          <w:sz w:val="28"/>
          <w:szCs w:val="28"/>
        </w:rPr>
        <w:t xml:space="preserve"> 8</w:t>
      </w:r>
      <w:r w:rsidR="002727DB" w:rsidRPr="00E3361D">
        <w:rPr>
          <w:rFonts w:asciiTheme="majorHAnsi" w:hAnsiTheme="majorHAnsi" w:cstheme="majorHAnsi"/>
          <w:b/>
          <w:bCs/>
          <w:sz w:val="28"/>
          <w:szCs w:val="28"/>
        </w:rPr>
        <w:t xml:space="preserve">, </w:t>
      </w:r>
      <w:r w:rsidR="004E1826" w:rsidRPr="00E3361D">
        <w:rPr>
          <w:rFonts w:asciiTheme="majorHAnsi" w:hAnsiTheme="majorHAnsi" w:cstheme="majorHAnsi"/>
          <w:b/>
          <w:bCs/>
          <w:sz w:val="28"/>
          <w:szCs w:val="28"/>
        </w:rPr>
        <w:t>2017</w:t>
      </w:r>
    </w:p>
    <w:p w:rsidR="00491784" w:rsidRPr="00E3361D" w:rsidRDefault="004E1826" w:rsidP="00B4013C">
      <w:pPr>
        <w:spacing w:after="120" w:line="36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3361D">
        <w:rPr>
          <w:rFonts w:asciiTheme="majorHAnsi" w:hAnsiTheme="majorHAnsi" w:cstheme="majorHAnsi"/>
          <w:b/>
          <w:bCs/>
          <w:sz w:val="28"/>
          <w:szCs w:val="28"/>
        </w:rPr>
        <w:t>1. Support for compensation for ground clearance:</w:t>
      </w:r>
    </w:p>
    <w:p w:rsidR="00CE309D" w:rsidRPr="00E3361D" w:rsidRDefault="00491784" w:rsidP="00B4013C">
      <w:pPr>
        <w:spacing w:after="120" w:line="36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3361D">
        <w:rPr>
          <w:rFonts w:asciiTheme="majorHAnsi" w:hAnsiTheme="majorHAnsi" w:cstheme="majorHAnsi"/>
          <w:sz w:val="28"/>
          <w:szCs w:val="28"/>
        </w:rPr>
        <w:t xml:space="preserve">   </w:t>
      </w:r>
      <w:r w:rsidR="004E1826" w:rsidRPr="00E3361D">
        <w:rPr>
          <w:rFonts w:asciiTheme="majorHAnsi" w:hAnsiTheme="majorHAnsi" w:cstheme="majorHAnsi"/>
          <w:sz w:val="28"/>
          <w:szCs w:val="28"/>
        </w:rPr>
        <w:t>The provincial budget support</w:t>
      </w:r>
      <w:r w:rsidR="009229A4" w:rsidRPr="00E3361D">
        <w:rPr>
          <w:rFonts w:asciiTheme="majorHAnsi" w:hAnsiTheme="majorHAnsi" w:cstheme="majorHAnsi"/>
          <w:sz w:val="28"/>
          <w:szCs w:val="28"/>
        </w:rPr>
        <w:t>s</w:t>
      </w:r>
      <w:r w:rsidR="004E1826" w:rsidRPr="00E3361D">
        <w:rPr>
          <w:rFonts w:asciiTheme="majorHAnsi" w:hAnsiTheme="majorHAnsi" w:cstheme="majorHAnsi"/>
          <w:sz w:val="28"/>
          <w:szCs w:val="28"/>
        </w:rPr>
        <w:t xml:space="preserve"> 10% of the cost of compensation for ground clearance, resettlement or investment</w:t>
      </w:r>
      <w:r w:rsidR="008C02E8" w:rsidRPr="00E3361D">
        <w:rPr>
          <w:rFonts w:asciiTheme="majorHAnsi" w:hAnsiTheme="majorHAnsi" w:cstheme="majorHAnsi"/>
          <w:sz w:val="28"/>
          <w:szCs w:val="28"/>
        </w:rPr>
        <w:t xml:space="preserve"> fee</w:t>
      </w:r>
      <w:r w:rsidR="004E1826" w:rsidRPr="00E3361D">
        <w:rPr>
          <w:rFonts w:asciiTheme="majorHAnsi" w:hAnsiTheme="majorHAnsi" w:cstheme="majorHAnsi"/>
          <w:sz w:val="28"/>
          <w:szCs w:val="28"/>
        </w:rPr>
        <w:t xml:space="preserve"> in the construction of technical infrastructure items for investors investing in infrastructure construction and trading </w:t>
      </w:r>
      <w:r w:rsidR="008F439D" w:rsidRPr="00E3361D">
        <w:rPr>
          <w:rFonts w:asciiTheme="majorHAnsi" w:hAnsiTheme="majorHAnsi" w:cstheme="majorHAnsi"/>
          <w:sz w:val="28"/>
          <w:szCs w:val="28"/>
        </w:rPr>
        <w:t>f</w:t>
      </w:r>
      <w:r w:rsidR="004E1826" w:rsidRPr="00E3361D">
        <w:rPr>
          <w:rFonts w:asciiTheme="majorHAnsi" w:hAnsiTheme="majorHAnsi" w:cstheme="majorHAnsi"/>
          <w:sz w:val="28"/>
          <w:szCs w:val="28"/>
        </w:rPr>
        <w:t>unctional zones in economic zones and industrial zones (</w:t>
      </w:r>
      <w:r w:rsidR="00AB53B4" w:rsidRPr="00E3361D">
        <w:rPr>
          <w:rFonts w:asciiTheme="majorHAnsi" w:hAnsiTheme="majorHAnsi" w:cstheme="majorHAnsi"/>
          <w:sz w:val="28"/>
          <w:szCs w:val="28"/>
        </w:rPr>
        <w:t>clause</w:t>
      </w:r>
      <w:r w:rsidR="004E1826" w:rsidRPr="00E3361D">
        <w:rPr>
          <w:rFonts w:asciiTheme="majorHAnsi" w:hAnsiTheme="majorHAnsi" w:cstheme="majorHAnsi"/>
          <w:sz w:val="28"/>
          <w:szCs w:val="28"/>
        </w:rPr>
        <w:t xml:space="preserve"> 2</w:t>
      </w:r>
      <w:r w:rsidR="00AB53B4" w:rsidRPr="00E3361D">
        <w:rPr>
          <w:rFonts w:asciiTheme="majorHAnsi" w:hAnsiTheme="majorHAnsi" w:cstheme="majorHAnsi"/>
          <w:sz w:val="28"/>
          <w:szCs w:val="28"/>
        </w:rPr>
        <w:t>,</w:t>
      </w:r>
      <w:r w:rsidR="004E1826" w:rsidRPr="00E3361D">
        <w:rPr>
          <w:rFonts w:asciiTheme="majorHAnsi" w:hAnsiTheme="majorHAnsi" w:cstheme="majorHAnsi"/>
          <w:sz w:val="28"/>
          <w:szCs w:val="28"/>
        </w:rPr>
        <w:t xml:space="preserve"> </w:t>
      </w:r>
      <w:r w:rsidR="00AB53B4" w:rsidRPr="00E3361D">
        <w:rPr>
          <w:rFonts w:asciiTheme="majorHAnsi" w:hAnsiTheme="majorHAnsi" w:cstheme="majorHAnsi"/>
          <w:sz w:val="28"/>
          <w:szCs w:val="28"/>
        </w:rPr>
        <w:t>a</w:t>
      </w:r>
      <w:r w:rsidR="004E1826" w:rsidRPr="00E3361D">
        <w:rPr>
          <w:rFonts w:asciiTheme="majorHAnsi" w:hAnsiTheme="majorHAnsi" w:cstheme="majorHAnsi"/>
          <w:sz w:val="28"/>
          <w:szCs w:val="28"/>
        </w:rPr>
        <w:t xml:space="preserve">rticle 8 of Resolution No. 11/2016/NQ-HDND dated </w:t>
      </w:r>
      <w:r w:rsidR="002B79A6" w:rsidRPr="00E3361D">
        <w:rPr>
          <w:rFonts w:asciiTheme="majorHAnsi" w:hAnsiTheme="majorHAnsi" w:cstheme="majorHAnsi"/>
          <w:sz w:val="28"/>
          <w:szCs w:val="28"/>
        </w:rPr>
        <w:t xml:space="preserve">on December </w:t>
      </w:r>
      <w:r w:rsidR="004E1826" w:rsidRPr="00E3361D">
        <w:rPr>
          <w:rFonts w:asciiTheme="majorHAnsi" w:hAnsiTheme="majorHAnsi" w:cstheme="majorHAnsi"/>
          <w:sz w:val="28"/>
          <w:szCs w:val="28"/>
        </w:rPr>
        <w:t>8</w:t>
      </w:r>
      <w:r w:rsidR="002B79A6" w:rsidRPr="00E3361D">
        <w:rPr>
          <w:rFonts w:asciiTheme="majorHAnsi" w:hAnsiTheme="majorHAnsi" w:cstheme="majorHAnsi"/>
          <w:sz w:val="28"/>
          <w:szCs w:val="28"/>
        </w:rPr>
        <w:t xml:space="preserve">, </w:t>
      </w:r>
      <w:r w:rsidR="004E1826" w:rsidRPr="00E3361D">
        <w:rPr>
          <w:rFonts w:asciiTheme="majorHAnsi" w:hAnsiTheme="majorHAnsi" w:cstheme="majorHAnsi"/>
          <w:sz w:val="28"/>
          <w:szCs w:val="28"/>
        </w:rPr>
        <w:t>2016).</w:t>
      </w:r>
    </w:p>
    <w:p w:rsidR="006A35B2" w:rsidRPr="00E3361D" w:rsidRDefault="009F09BF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2. Technical infrastructure investment support:</w:t>
      </w:r>
    </w:p>
    <w:p w:rsidR="004C30E4" w:rsidRPr="00E3361D" w:rsidRDefault="006A35B2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  </w:t>
      </w:r>
      <w:r w:rsidR="009F09B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For investors invest</w:t>
      </w:r>
      <w:r w:rsidR="000679ED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ing</w:t>
      </w:r>
      <w:r w:rsidR="009F09B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in construction and </w:t>
      </w:r>
      <w:r w:rsidR="00AB4F20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business</w:t>
      </w:r>
      <w:r w:rsidR="009F09B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</w:t>
      </w:r>
      <w:r w:rsidR="003A00C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of </w:t>
      </w:r>
      <w:r w:rsidR="009F09B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infrastructure in EZs and I</w:t>
      </w:r>
      <w:r w:rsidR="005E6437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Z</w:t>
      </w:r>
      <w:r w:rsidR="009F09B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s </w:t>
      </w:r>
      <w:r w:rsidR="000679ED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are</w:t>
      </w:r>
      <w:r w:rsidR="009F09B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funded by the provincial budget for the construction of traffic roads, </w:t>
      </w:r>
      <w:r w:rsidR="009F09B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lastRenderedPageBreak/>
        <w:t>electricity supply and water supply from the connection points to the fence of functional areas in EZs, I</w:t>
      </w:r>
      <w:r w:rsidR="00182263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Z</w:t>
      </w:r>
      <w:r w:rsidR="009F09BF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s.</w:t>
      </w:r>
    </w:p>
    <w:p w:rsidR="00AB02A9" w:rsidRPr="00E3361D" w:rsidRDefault="004C30E4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  </w:t>
      </w:r>
      <w:r w:rsidR="00A8673A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S</w:t>
      </w:r>
      <w:r w:rsidR="00B327F0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uport</w:t>
      </w:r>
      <w:r w:rsidR="00B327F0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</w:t>
      </w:r>
      <w:r w:rsidR="00395E98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100% of making environmental impact assessment reports </w:t>
      </w:r>
      <w:r w:rsidR="00A8673A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but each </w:t>
      </w:r>
      <w:r w:rsidR="00A8673A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project </w:t>
      </w:r>
      <w:r w:rsidR="00A8673A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doesn’t</w:t>
      </w:r>
      <w:r w:rsidR="00395E98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exceed VND</w:t>
      </w:r>
      <w:r w:rsidR="00A8673A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="00395E98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1 billion and support after completion of operation</w:t>
      </w:r>
      <w:r w:rsidR="007F7E7A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="00395E98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(</w:t>
      </w:r>
      <w:r w:rsidR="006B442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clause</w:t>
      </w:r>
      <w:r w:rsidR="00395E98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2, </w:t>
      </w:r>
      <w:r w:rsidR="006B442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="00395E98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rticle 9</w:t>
      </w:r>
      <w:r w:rsidR="006B442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of</w:t>
      </w:r>
      <w:r w:rsidR="00395E98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Resolution No. 11/2016/NQ-HDND dated </w:t>
      </w:r>
      <w:r w:rsidR="0029786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on December </w:t>
      </w:r>
      <w:r w:rsidR="00395E98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8</w:t>
      </w:r>
      <w:r w:rsidR="0029786B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, </w:t>
      </w:r>
      <w:r w:rsidR="00395E98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2016).</w:t>
      </w:r>
    </w:p>
    <w:p w:rsidR="0063737F" w:rsidRPr="00E3361D" w:rsidRDefault="00AB02A9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  </w:t>
      </w:r>
      <w:r w:rsidR="007A310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In cases</w:t>
      </w:r>
      <w:r w:rsidR="002462FD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the</w:t>
      </w:r>
      <w:r w:rsidR="007A3103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investors advance funds for investment in construction of traffic roads, electricity supply and water supply from the connection points to the fences of functional zones in EZs, </w:t>
      </w:r>
      <w:r w:rsidR="00394147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I</w:t>
      </w:r>
      <w:r w:rsidR="000844E1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Zs</w:t>
      </w:r>
      <w:r w:rsidR="00467ED7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,</w:t>
      </w:r>
      <w:r w:rsidR="00E35611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the province will</w:t>
      </w:r>
      <w:r w:rsidR="00B90B08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refund </w:t>
      </w:r>
      <w:r w:rsidR="00441C3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in </w:t>
      </w:r>
      <w:r w:rsidR="00B90B08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3 years after the works </w:t>
      </w:r>
      <w:r w:rsidR="008C54AA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="00B90B08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cceptance </w:t>
      </w:r>
      <w:r w:rsidR="00A95865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is </w:t>
      </w:r>
      <w:r w:rsidR="00B90B08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put into use and support</w:t>
      </w:r>
      <w:r w:rsidR="008E7DBE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ed </w:t>
      </w:r>
      <w:r w:rsidR="00B90B08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100% bank interest rate (if any) under the loan contract with domestic commercial banks. In case of advances funded by capital of enterprises or loans from foreign banks, the interest rate </w:t>
      </w:r>
      <w:r w:rsidR="00807270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will</w:t>
      </w:r>
      <w:r w:rsidR="00B90B08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be calculated according to the interest rate of the Investment and Development </w:t>
      </w:r>
      <w:r w:rsidR="0035495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b</w:t>
      </w:r>
      <w:r w:rsidR="00B90B08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ank of Tra Vinh province within the above-said time limit</w:t>
      </w:r>
      <w:r w:rsidR="00A67F68"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 xml:space="preserve"> </w:t>
      </w:r>
      <w:r w:rsidR="003F52F0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(</w:t>
      </w:r>
      <w:r w:rsidR="00A67F68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c</w:t>
      </w:r>
      <w:r w:rsidR="003E1437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lause</w:t>
      </w:r>
      <w:r w:rsidR="003F52F0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4, </w:t>
      </w:r>
      <w:r w:rsidR="003E1437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a</w:t>
      </w:r>
      <w:r w:rsidR="003F52F0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rticle 9 of Resolution No. 11/2016/NQ-HDND dated </w:t>
      </w:r>
      <w:r w:rsidR="003E1437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on December </w:t>
      </w:r>
      <w:r w:rsidR="003F52F0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8</w:t>
      </w:r>
      <w:r w:rsidR="003E1437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, </w:t>
      </w:r>
      <w:r w:rsidR="003F52F0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2016)</w:t>
      </w:r>
      <w:r w:rsidR="00EC6BB3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.</w:t>
      </w:r>
    </w:p>
    <w:p w:rsidR="00C34E13" w:rsidRPr="00E3361D" w:rsidRDefault="00C34E13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 xml:space="preserve">3. Advisory support for </w:t>
      </w:r>
      <w:r w:rsidR="009A4A93"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>setting up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, registration and protection of intellectual property; support the application of tools to improve the productivity and quality of products of enterprises.</w:t>
      </w:r>
    </w:p>
    <w:p w:rsidR="0063737F" w:rsidRPr="00E3361D" w:rsidRDefault="00C34E13" w:rsidP="00B4013C">
      <w:pPr>
        <w:spacing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(Article 13</w:t>
      </w:r>
      <w:r w:rsidR="00FF7C32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of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Resolution No. 11/2016/NQ-HDND dated </w:t>
      </w:r>
      <w:r w:rsidR="000153CC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on December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8</w:t>
      </w:r>
      <w:r w:rsidR="000153CC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, </w:t>
      </w:r>
      <w:r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2016</w:t>
      </w:r>
      <w:r w:rsidR="000153CC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)</w:t>
      </w:r>
    </w:p>
    <w:p w:rsidR="001C3217" w:rsidRPr="00E3361D" w:rsidRDefault="001C3217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4. Employment recruitment and training:</w:t>
      </w:r>
    </w:p>
    <w:p w:rsidR="0063737F" w:rsidRPr="00E3361D" w:rsidRDefault="001C3217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</w:pP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>a</w:t>
      </w:r>
      <w:r w:rsidR="0068017E"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>)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 xml:space="preserve"> Support for </w:t>
      </w:r>
      <w:r w:rsidR="007D4231"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>employment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 xml:space="preserve"> recruitment</w:t>
      </w:r>
      <w:r w:rsidR="00AC3E73"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>:</w:t>
      </w:r>
    </w:p>
    <w:p w:rsidR="003A6E55" w:rsidRPr="00E3361D" w:rsidRDefault="0044358F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  </w:t>
      </w:r>
      <w:r w:rsidR="003A6E55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Enterprises recruit</w:t>
      </w:r>
      <w:r w:rsidR="00434850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ing</w:t>
      </w:r>
      <w:r w:rsidR="003A6E55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employees are supported 50% of information cost, </w:t>
      </w:r>
      <w:r w:rsidR="00A5561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employment </w:t>
      </w:r>
      <w:r w:rsidR="003A6E55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recruitment</w:t>
      </w:r>
      <w:r w:rsidR="00A5561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announcement</w:t>
      </w:r>
      <w:r w:rsidR="008F4BA6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</w:t>
      </w:r>
      <w:r w:rsidR="003A6E55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on Tra Vinh Radio and Television, Tra Vinh </w:t>
      </w:r>
      <w:r w:rsidR="00767C96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n</w:t>
      </w:r>
      <w:r w:rsidR="003A6E55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ewspaper, district radio and city. The support </w:t>
      </w:r>
      <w:r w:rsidR="00044075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>doesn’t</w:t>
      </w:r>
      <w:r w:rsidR="003A6E55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 exceed VND 50 million/ project.</w:t>
      </w:r>
    </w:p>
    <w:p w:rsidR="003A6E55" w:rsidRPr="00E3361D" w:rsidRDefault="00FD481F" w:rsidP="00B4013C">
      <w:pPr>
        <w:spacing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   </w:t>
      </w:r>
      <w:r w:rsidR="003A6E55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 xml:space="preserve">(Article 14, Resolution No. 11/2016/NQ-HDND dated </w:t>
      </w:r>
      <w:r w:rsidR="00B02F3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on December </w:t>
      </w:r>
      <w:r w:rsidR="003A6E55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8</w:t>
      </w:r>
      <w:r w:rsidR="00B02F3F" w:rsidRPr="00E3361D">
        <w:rPr>
          <w:rFonts w:asciiTheme="majorHAnsi" w:eastAsiaTheme="minorHAnsi" w:hAnsiTheme="majorHAnsi" w:cstheme="majorHAnsi"/>
          <w:sz w:val="28"/>
          <w:szCs w:val="28"/>
          <w:lang w:bidi="km-KH"/>
        </w:rPr>
        <w:t xml:space="preserve">, </w:t>
      </w:r>
      <w:r w:rsidR="003A6E55" w:rsidRPr="00E3361D">
        <w:rPr>
          <w:rFonts w:asciiTheme="majorHAnsi" w:eastAsiaTheme="minorHAnsi" w:hAnsiTheme="majorHAnsi" w:cstheme="majorHAnsi"/>
          <w:sz w:val="28"/>
          <w:szCs w:val="28"/>
          <w:lang w:val="x-none" w:bidi="km-KH"/>
        </w:rPr>
        <w:t>2016)</w:t>
      </w:r>
    </w:p>
    <w:p w:rsidR="00B61132" w:rsidRPr="00E3361D" w:rsidRDefault="00B6189B" w:rsidP="00B4013C">
      <w:pPr>
        <w:spacing w:after="120" w:line="360" w:lineRule="auto"/>
        <w:jc w:val="both"/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</w:pP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 xml:space="preserve">b) Support for </w:t>
      </w:r>
      <w:r w:rsidR="0099017F"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bidi="km-KH"/>
        </w:rPr>
        <w:t>employment</w:t>
      </w:r>
      <w:r w:rsidRPr="00E3361D">
        <w:rPr>
          <w:rFonts w:asciiTheme="majorHAnsi" w:eastAsiaTheme="minorHAnsi" w:hAnsiTheme="majorHAnsi" w:cstheme="majorHAnsi"/>
          <w:b/>
          <w:bCs/>
          <w:sz w:val="28"/>
          <w:szCs w:val="28"/>
          <w:lang w:val="x-none" w:bidi="km-KH"/>
        </w:rPr>
        <w:t xml:space="preserve"> training: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4433"/>
        <w:gridCol w:w="2317"/>
        <w:gridCol w:w="1610"/>
      </w:tblGrid>
      <w:tr w:rsidR="0063737F" w:rsidRPr="00E3361D" w:rsidTr="00994312">
        <w:trPr>
          <w:trHeight w:val="368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B472F1" w:rsidP="00B4013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Order</w:t>
            </w:r>
          </w:p>
        </w:tc>
        <w:tc>
          <w:tcPr>
            <w:tcW w:w="4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CF4FF8" w:rsidP="00B4013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Form of support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C6061F" w:rsidP="00B4013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Training </w:t>
            </w:r>
            <w:r w:rsidR="00CA64D1" w:rsidRPr="00E336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duration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D7490C" w:rsidP="00B4013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x-none" w:bidi="km-KH"/>
              </w:rPr>
            </w:pPr>
            <w:r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x-none" w:bidi="km-KH"/>
              </w:rPr>
              <w:lastRenderedPageBreak/>
              <w:t xml:space="preserve">Support </w:t>
            </w:r>
            <w:r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x-none" w:bidi="km-KH"/>
              </w:rPr>
              <w:lastRenderedPageBreak/>
              <w:t>level</w:t>
            </w:r>
            <w:r w:rsidR="000970FE"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bidi="km-KH"/>
              </w:rPr>
              <w:t xml:space="preserve"> </w:t>
            </w:r>
            <w:r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x-none" w:bidi="km-KH"/>
              </w:rPr>
              <w:t>(VND /person)</w:t>
            </w:r>
          </w:p>
        </w:tc>
      </w:tr>
      <w:tr w:rsidR="0063737F" w:rsidRPr="00E3361D" w:rsidTr="00BE5215">
        <w:trPr>
          <w:trHeight w:val="368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4013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I</w:t>
            </w:r>
          </w:p>
        </w:tc>
        <w:tc>
          <w:tcPr>
            <w:tcW w:w="83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9D7" w:rsidRPr="00E3361D" w:rsidRDefault="003C76BB" w:rsidP="003C76BB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bidi="km-KH"/>
              </w:rPr>
              <w:t xml:space="preserve">   </w:t>
            </w:r>
            <w:r w:rsidR="00B549D7"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x-none" w:bidi="km-KH"/>
              </w:rPr>
              <w:t xml:space="preserve">For projects with regular use of between 100 and 5,000 </w:t>
            </w:r>
            <w:r w:rsidR="00ED4756"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bidi="km-KH"/>
              </w:rPr>
              <w:t>employees</w:t>
            </w:r>
            <w:r w:rsidR="00B549D7"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x-none" w:bidi="km-KH"/>
              </w:rPr>
              <w:t xml:space="preserve">, the maximum support level </w:t>
            </w:r>
            <w:r w:rsidR="00C76253"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bidi="km-KH"/>
              </w:rPr>
              <w:t>doesn’t</w:t>
            </w:r>
            <w:r w:rsidR="00B549D7"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x-none" w:bidi="km-KH"/>
              </w:rPr>
              <w:t xml:space="preserve"> exceed VND 300 million/project</w:t>
            </w:r>
          </w:p>
        </w:tc>
      </w:tr>
      <w:tr w:rsidR="0063737F" w:rsidRPr="00E3361D" w:rsidTr="00994312">
        <w:trPr>
          <w:trHeight w:val="1"/>
        </w:trPr>
        <w:tc>
          <w:tcPr>
            <w:tcW w:w="9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4013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44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887514" w:rsidP="00B4013C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 xml:space="preserve">   </w:t>
            </w:r>
            <w:r w:rsidR="00852A5F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 xml:space="preserve">Vocational training for local </w:t>
            </w:r>
            <w:r w:rsidR="00855ACF" w:rsidRPr="00E3361D"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>employees</w:t>
            </w:r>
            <w:r w:rsidR="00852A5F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 xml:space="preserve"> at provincial vocational training institutions, the total support fund </w:t>
            </w:r>
            <w:r w:rsidR="00435A65" w:rsidRPr="00E3361D"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>doesn’t</w:t>
            </w:r>
            <w:r w:rsidR="00852A5F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 xml:space="preserve"> exceed </w:t>
            </w:r>
            <w:r w:rsidR="00193D55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 xml:space="preserve">VND </w:t>
            </w:r>
            <w:r w:rsidR="00852A5F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>300</w:t>
            </w:r>
            <w:r w:rsidR="00193D55" w:rsidRPr="00E3361D"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 xml:space="preserve"> million</w:t>
            </w:r>
            <w:r w:rsidR="00852A5F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 xml:space="preserve"> /project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7B240A" w:rsidP="00220A3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More than 3 months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A6B0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1.000.000</w:t>
            </w:r>
          </w:p>
        </w:tc>
      </w:tr>
      <w:tr w:rsidR="0063737F" w:rsidRPr="00E3361D" w:rsidTr="00994312">
        <w:trPr>
          <w:trHeight w:val="1"/>
        </w:trPr>
        <w:tc>
          <w:tcPr>
            <w:tcW w:w="9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4013C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4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4013C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963E06" w:rsidP="00220A3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Less than 3 months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A6B0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500.000</w:t>
            </w:r>
          </w:p>
        </w:tc>
      </w:tr>
      <w:tr w:rsidR="0063737F" w:rsidRPr="00E3361D" w:rsidTr="00994312">
        <w:trPr>
          <w:trHeight w:val="1"/>
        </w:trPr>
        <w:tc>
          <w:tcPr>
            <w:tcW w:w="9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4013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44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887514" w:rsidP="00B4013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</w:pPr>
            <w:r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 xml:space="preserve">   </w:t>
            </w:r>
            <w:r w:rsidR="000C7B57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 xml:space="preserve">Training at enterprises or on-the-job training, the total support fund </w:t>
            </w:r>
            <w:r w:rsidR="00BC0277" w:rsidRPr="00E3361D"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 xml:space="preserve">doesn’t </w:t>
            </w:r>
            <w:r w:rsidR="000C7B57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>exceed VND 150</w:t>
            </w:r>
            <w:r w:rsidR="002654E4" w:rsidRPr="00E3361D"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 xml:space="preserve"> million</w:t>
            </w:r>
            <w:r w:rsidR="000C7B57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 xml:space="preserve">/project 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A86DDB" w:rsidP="00220A3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More than 3 months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A6B0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500.000</w:t>
            </w:r>
          </w:p>
        </w:tc>
      </w:tr>
      <w:tr w:rsidR="0063737F" w:rsidRPr="00E3361D" w:rsidTr="00994312">
        <w:trPr>
          <w:trHeight w:val="1"/>
        </w:trPr>
        <w:tc>
          <w:tcPr>
            <w:tcW w:w="9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4013C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4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4013C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A86DDB" w:rsidP="00220A3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Less than 3 months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A6B0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250.000</w:t>
            </w:r>
          </w:p>
        </w:tc>
      </w:tr>
      <w:tr w:rsidR="0063737F" w:rsidRPr="00E3361D" w:rsidTr="00BE5215">
        <w:trPr>
          <w:trHeight w:val="1"/>
        </w:trPr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4013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3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6D5F" w:rsidRPr="00E3361D" w:rsidRDefault="00887514" w:rsidP="00FC2571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bidi="km-KH"/>
              </w:rPr>
              <w:t xml:space="preserve">   </w:t>
            </w:r>
            <w:r w:rsidR="00876D5F"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x-none" w:bidi="km-KH"/>
              </w:rPr>
              <w:t xml:space="preserve">For projects with regular use of </w:t>
            </w:r>
            <w:r w:rsidR="004A739F"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bidi="km-KH"/>
              </w:rPr>
              <w:t xml:space="preserve">more than </w:t>
            </w:r>
            <w:r w:rsidR="00876D5F"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x-none" w:bidi="km-KH"/>
              </w:rPr>
              <w:t xml:space="preserve">5,000 </w:t>
            </w:r>
            <w:r w:rsidR="00876D5F"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bidi="km-KH"/>
              </w:rPr>
              <w:t>employees</w:t>
            </w:r>
            <w:r w:rsidR="00876D5F"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x-none" w:bidi="km-KH"/>
              </w:rPr>
              <w:t xml:space="preserve">, the maximum support level </w:t>
            </w:r>
            <w:r w:rsidR="0006081E"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bidi="km-KH"/>
              </w:rPr>
              <w:t>is between VND 250</w:t>
            </w:r>
            <w:r w:rsidR="00876D5F"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x-none" w:bidi="km-KH"/>
              </w:rPr>
              <w:t xml:space="preserve"> </w:t>
            </w:r>
            <w:r w:rsidR="0006081E"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bidi="km-KH"/>
              </w:rPr>
              <w:t>and 500</w:t>
            </w:r>
            <w:r w:rsidR="005D28C4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bidi="km-KH"/>
              </w:rPr>
              <w:t xml:space="preserve"> </w:t>
            </w:r>
            <w:r w:rsidR="00876D5F"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x-none" w:bidi="km-KH"/>
              </w:rPr>
              <w:t>million/</w:t>
            </w:r>
            <w:r w:rsidR="005D28C4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bidi="km-KH"/>
              </w:rPr>
              <w:t xml:space="preserve"> </w:t>
            </w:r>
            <w:r w:rsidR="00876D5F" w:rsidRPr="00E3361D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x-none" w:bidi="km-KH"/>
              </w:rPr>
              <w:t>project</w:t>
            </w:r>
          </w:p>
        </w:tc>
      </w:tr>
      <w:tr w:rsidR="0063737F" w:rsidRPr="00E3361D" w:rsidTr="00994312">
        <w:trPr>
          <w:trHeight w:val="1"/>
        </w:trPr>
        <w:tc>
          <w:tcPr>
            <w:tcW w:w="9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4013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44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3246" w:rsidRPr="00E3361D" w:rsidRDefault="00887514" w:rsidP="00B4013C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 xml:space="preserve">   </w:t>
            </w:r>
            <w:r w:rsidR="00AA3246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 xml:space="preserve">Vocational training for local </w:t>
            </w:r>
            <w:r w:rsidR="00AA3246" w:rsidRPr="00E3361D"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>employees</w:t>
            </w:r>
            <w:r w:rsidR="00AA3246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 xml:space="preserve"> at provincial vocational training institutions, the total support fund </w:t>
            </w:r>
            <w:r w:rsidR="00AA3246" w:rsidRPr="00E3361D"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>doesn’t</w:t>
            </w:r>
            <w:r w:rsidR="00AA3246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 xml:space="preserve"> exceed VND </w:t>
            </w:r>
            <w:r w:rsidR="00346BFB" w:rsidRPr="00E3361D"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>5</w:t>
            </w:r>
            <w:r w:rsidR="00AA3246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>00</w:t>
            </w:r>
            <w:r w:rsidR="00AA3246" w:rsidRPr="00E3361D"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 xml:space="preserve"> million</w:t>
            </w:r>
            <w:r w:rsidR="00AA3246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 xml:space="preserve"> /project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74291" w:rsidP="00220A3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More than 3 months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A6B0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1.000.000</w:t>
            </w:r>
          </w:p>
        </w:tc>
      </w:tr>
      <w:tr w:rsidR="0063737F" w:rsidRPr="00E3361D" w:rsidTr="00955F8B">
        <w:trPr>
          <w:trHeight w:val="1955"/>
        </w:trPr>
        <w:tc>
          <w:tcPr>
            <w:tcW w:w="9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4013C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4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4013C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46186A" w:rsidP="00220A3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Less than 3 months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A6B0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500.000</w:t>
            </w:r>
          </w:p>
        </w:tc>
      </w:tr>
      <w:tr w:rsidR="0063737F" w:rsidRPr="00E3361D" w:rsidTr="00994312">
        <w:trPr>
          <w:trHeight w:val="1"/>
        </w:trPr>
        <w:tc>
          <w:tcPr>
            <w:tcW w:w="9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4013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44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887514" w:rsidP="00B4013C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 xml:space="preserve">   </w:t>
            </w:r>
            <w:r w:rsidR="00FF3F2D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 xml:space="preserve">Training at enterprises or on-the-job training, the total support fund </w:t>
            </w:r>
            <w:r w:rsidR="00FF3F2D" w:rsidRPr="00E3361D"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 xml:space="preserve">doesn’t </w:t>
            </w:r>
            <w:r w:rsidR="00FF3F2D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 xml:space="preserve">exceed VND </w:t>
            </w:r>
            <w:r w:rsidR="00B00466" w:rsidRPr="00E3361D"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>2</w:t>
            </w:r>
            <w:r w:rsidR="00FF3F2D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>50</w:t>
            </w:r>
            <w:r w:rsidR="00FF3F2D" w:rsidRPr="00E3361D"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 xml:space="preserve"> million</w:t>
            </w:r>
            <w:r w:rsidR="00FF3F2D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>/</w:t>
            </w:r>
            <w:r w:rsidR="009C1A88">
              <w:rPr>
                <w:rFonts w:asciiTheme="majorHAnsi" w:eastAsiaTheme="minorHAnsi" w:hAnsiTheme="majorHAnsi" w:cstheme="majorHAnsi"/>
                <w:sz w:val="28"/>
                <w:szCs w:val="28"/>
                <w:lang w:bidi="km-KH"/>
              </w:rPr>
              <w:t xml:space="preserve"> </w:t>
            </w:r>
            <w:r w:rsidR="00FF3F2D" w:rsidRPr="00E3361D">
              <w:rPr>
                <w:rFonts w:asciiTheme="majorHAnsi" w:eastAsiaTheme="minorHAnsi" w:hAnsiTheme="majorHAnsi" w:cstheme="majorHAnsi"/>
                <w:sz w:val="28"/>
                <w:szCs w:val="28"/>
                <w:lang w:val="x-none" w:bidi="km-KH"/>
              </w:rPr>
              <w:t>project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74291" w:rsidP="00220A3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More than 3 months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A6B0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500.000</w:t>
            </w:r>
          </w:p>
        </w:tc>
      </w:tr>
      <w:tr w:rsidR="0063737F" w:rsidRPr="00E3361D" w:rsidTr="00994312">
        <w:trPr>
          <w:trHeight w:val="1"/>
        </w:trPr>
        <w:tc>
          <w:tcPr>
            <w:tcW w:w="9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737F" w:rsidRPr="00E3361D" w:rsidRDefault="0063737F" w:rsidP="00B4013C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4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4013C">
            <w:pPr>
              <w:autoSpaceDE w:val="0"/>
              <w:autoSpaceDN w:val="0"/>
              <w:adjustRightInd w:val="0"/>
              <w:spacing w:after="12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46186A" w:rsidP="00220A3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Less than 3 months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737F" w:rsidRPr="00E3361D" w:rsidRDefault="0063737F" w:rsidP="00BA6B0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3361D">
              <w:rPr>
                <w:rFonts w:asciiTheme="majorHAnsi" w:hAnsiTheme="majorHAnsi" w:cstheme="majorHAnsi"/>
                <w:sz w:val="28"/>
                <w:szCs w:val="28"/>
              </w:rPr>
              <w:t>250.000</w:t>
            </w:r>
          </w:p>
        </w:tc>
      </w:tr>
    </w:tbl>
    <w:p w:rsidR="00E7163A" w:rsidRPr="00E3361D" w:rsidRDefault="00665998" w:rsidP="00B4013C">
      <w:pPr>
        <w:autoSpaceDE w:val="0"/>
        <w:autoSpaceDN w:val="0"/>
        <w:adjustRightInd w:val="0"/>
        <w:spacing w:after="0" w:line="360" w:lineRule="auto"/>
        <w:rPr>
          <w:rFonts w:asciiTheme="majorHAnsi" w:eastAsiaTheme="minorHAnsi" w:hAnsiTheme="majorHAnsi" w:cstheme="majorHAnsi"/>
          <w:sz w:val="28"/>
          <w:szCs w:val="28"/>
          <w:lang w:val="x-none" w:bidi="km-KH"/>
        </w:rPr>
      </w:pPr>
      <w:r w:rsidRPr="00E3361D">
        <w:rPr>
          <w:rFonts w:asciiTheme="majorHAnsi" w:hAnsiTheme="majorHAnsi" w:cstheme="majorHAnsi"/>
          <w:b/>
          <w:sz w:val="28"/>
          <w:szCs w:val="28"/>
        </w:rPr>
        <w:tab/>
      </w:r>
    </w:p>
    <w:p w:rsidR="00384F72" w:rsidRPr="00E3361D" w:rsidRDefault="00384F72" w:rsidP="00B4013C">
      <w:pPr>
        <w:spacing w:after="12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sectPr w:rsidR="00384F72" w:rsidRPr="00E3361D" w:rsidSect="00166D61">
      <w:footerReference w:type="default" r:id="rId8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840" w:rsidRDefault="008D1840" w:rsidP="003A3A9F">
      <w:pPr>
        <w:spacing w:after="0" w:line="240" w:lineRule="auto"/>
      </w:pPr>
      <w:r>
        <w:separator/>
      </w:r>
    </w:p>
  </w:endnote>
  <w:endnote w:type="continuationSeparator" w:id="0">
    <w:p w:rsidR="008D1840" w:rsidRDefault="008D1840" w:rsidP="003A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081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1BFF" w:rsidRDefault="004F1B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1347" w:rsidRDefault="00A1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840" w:rsidRDefault="008D1840" w:rsidP="003A3A9F">
      <w:pPr>
        <w:spacing w:after="0" w:line="240" w:lineRule="auto"/>
      </w:pPr>
      <w:r>
        <w:separator/>
      </w:r>
    </w:p>
  </w:footnote>
  <w:footnote w:type="continuationSeparator" w:id="0">
    <w:p w:rsidR="008D1840" w:rsidRDefault="008D1840" w:rsidP="003A3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20E3"/>
    <w:multiLevelType w:val="hybridMultilevel"/>
    <w:tmpl w:val="3A4E3068"/>
    <w:lvl w:ilvl="0" w:tplc="12941334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DD4816"/>
    <w:multiLevelType w:val="hybridMultilevel"/>
    <w:tmpl w:val="73D678C2"/>
    <w:lvl w:ilvl="0" w:tplc="CC0C93B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333F14"/>
    <w:multiLevelType w:val="hybridMultilevel"/>
    <w:tmpl w:val="B51C97B8"/>
    <w:lvl w:ilvl="0" w:tplc="AB8228C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174FB2"/>
    <w:multiLevelType w:val="hybridMultilevel"/>
    <w:tmpl w:val="FA728D7C"/>
    <w:lvl w:ilvl="0" w:tplc="1B1C8A3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720929"/>
    <w:multiLevelType w:val="hybridMultilevel"/>
    <w:tmpl w:val="1B60A43C"/>
    <w:lvl w:ilvl="0" w:tplc="1BD061E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theme="majorHAnsi" w:hint="default"/>
        <w:b w:val="0"/>
        <w:i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8C1B7C"/>
    <w:multiLevelType w:val="hybridMultilevel"/>
    <w:tmpl w:val="650C1376"/>
    <w:lvl w:ilvl="0" w:tplc="8576865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C22332"/>
    <w:multiLevelType w:val="hybridMultilevel"/>
    <w:tmpl w:val="D476568A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BF7"/>
    <w:rsid w:val="000007A6"/>
    <w:rsid w:val="00003ED9"/>
    <w:rsid w:val="000052C8"/>
    <w:rsid w:val="000071F1"/>
    <w:rsid w:val="00011446"/>
    <w:rsid w:val="00011E23"/>
    <w:rsid w:val="0001233F"/>
    <w:rsid w:val="00013636"/>
    <w:rsid w:val="00013A54"/>
    <w:rsid w:val="00013DEB"/>
    <w:rsid w:val="000153CC"/>
    <w:rsid w:val="00015903"/>
    <w:rsid w:val="00017BC7"/>
    <w:rsid w:val="0002153A"/>
    <w:rsid w:val="000237B0"/>
    <w:rsid w:val="00024995"/>
    <w:rsid w:val="00027112"/>
    <w:rsid w:val="0003028B"/>
    <w:rsid w:val="0003295D"/>
    <w:rsid w:val="00033D79"/>
    <w:rsid w:val="00034C0E"/>
    <w:rsid w:val="00041437"/>
    <w:rsid w:val="00042BE6"/>
    <w:rsid w:val="000438D3"/>
    <w:rsid w:val="00044075"/>
    <w:rsid w:val="00047F22"/>
    <w:rsid w:val="00051A87"/>
    <w:rsid w:val="00052855"/>
    <w:rsid w:val="00052DB2"/>
    <w:rsid w:val="0005300A"/>
    <w:rsid w:val="00053B37"/>
    <w:rsid w:val="00054E20"/>
    <w:rsid w:val="00055091"/>
    <w:rsid w:val="0006081E"/>
    <w:rsid w:val="00060A6B"/>
    <w:rsid w:val="00063760"/>
    <w:rsid w:val="00063A98"/>
    <w:rsid w:val="000641F8"/>
    <w:rsid w:val="000658F2"/>
    <w:rsid w:val="000679ED"/>
    <w:rsid w:val="00067B93"/>
    <w:rsid w:val="000705CF"/>
    <w:rsid w:val="00074980"/>
    <w:rsid w:val="00076E09"/>
    <w:rsid w:val="00077574"/>
    <w:rsid w:val="00080137"/>
    <w:rsid w:val="00081532"/>
    <w:rsid w:val="00082015"/>
    <w:rsid w:val="000844E1"/>
    <w:rsid w:val="00085A10"/>
    <w:rsid w:val="000862B2"/>
    <w:rsid w:val="00086E2A"/>
    <w:rsid w:val="00086F85"/>
    <w:rsid w:val="00091128"/>
    <w:rsid w:val="00093294"/>
    <w:rsid w:val="0009400D"/>
    <w:rsid w:val="00095ACA"/>
    <w:rsid w:val="000963F8"/>
    <w:rsid w:val="000970FE"/>
    <w:rsid w:val="000A195D"/>
    <w:rsid w:val="000A2975"/>
    <w:rsid w:val="000A5019"/>
    <w:rsid w:val="000B1582"/>
    <w:rsid w:val="000B383F"/>
    <w:rsid w:val="000C6B0D"/>
    <w:rsid w:val="000C7B57"/>
    <w:rsid w:val="000D1D58"/>
    <w:rsid w:val="000D209A"/>
    <w:rsid w:val="000D66CD"/>
    <w:rsid w:val="000D6F0F"/>
    <w:rsid w:val="000E0287"/>
    <w:rsid w:val="000E079C"/>
    <w:rsid w:val="000E2AE1"/>
    <w:rsid w:val="000E48F9"/>
    <w:rsid w:val="000E716D"/>
    <w:rsid w:val="00101CFE"/>
    <w:rsid w:val="00106F77"/>
    <w:rsid w:val="0010730B"/>
    <w:rsid w:val="0011298F"/>
    <w:rsid w:val="00112BC0"/>
    <w:rsid w:val="00115A55"/>
    <w:rsid w:val="00115ECA"/>
    <w:rsid w:val="00123CFF"/>
    <w:rsid w:val="001263A8"/>
    <w:rsid w:val="00126E4E"/>
    <w:rsid w:val="00127AA2"/>
    <w:rsid w:val="0013090C"/>
    <w:rsid w:val="00132E2F"/>
    <w:rsid w:val="0013370C"/>
    <w:rsid w:val="00133CE4"/>
    <w:rsid w:val="001346F6"/>
    <w:rsid w:val="00134AEB"/>
    <w:rsid w:val="001351DE"/>
    <w:rsid w:val="00137FD4"/>
    <w:rsid w:val="00144669"/>
    <w:rsid w:val="001468F8"/>
    <w:rsid w:val="00146A64"/>
    <w:rsid w:val="00147914"/>
    <w:rsid w:val="00152AA0"/>
    <w:rsid w:val="00155BE9"/>
    <w:rsid w:val="00157967"/>
    <w:rsid w:val="00157F62"/>
    <w:rsid w:val="00161101"/>
    <w:rsid w:val="001633B1"/>
    <w:rsid w:val="00164240"/>
    <w:rsid w:val="001645DB"/>
    <w:rsid w:val="001662B6"/>
    <w:rsid w:val="00166D61"/>
    <w:rsid w:val="00182263"/>
    <w:rsid w:val="00182B46"/>
    <w:rsid w:val="00183CE5"/>
    <w:rsid w:val="00184291"/>
    <w:rsid w:val="00185115"/>
    <w:rsid w:val="00185A31"/>
    <w:rsid w:val="001937D1"/>
    <w:rsid w:val="00193D55"/>
    <w:rsid w:val="0019536A"/>
    <w:rsid w:val="00197821"/>
    <w:rsid w:val="001A07D5"/>
    <w:rsid w:val="001A2175"/>
    <w:rsid w:val="001A7136"/>
    <w:rsid w:val="001B16DC"/>
    <w:rsid w:val="001B21CB"/>
    <w:rsid w:val="001B2776"/>
    <w:rsid w:val="001B309F"/>
    <w:rsid w:val="001B38DD"/>
    <w:rsid w:val="001B4FC6"/>
    <w:rsid w:val="001C21F1"/>
    <w:rsid w:val="001C3217"/>
    <w:rsid w:val="001C3A5B"/>
    <w:rsid w:val="001D0AD1"/>
    <w:rsid w:val="001D0BF7"/>
    <w:rsid w:val="001D1374"/>
    <w:rsid w:val="001D436F"/>
    <w:rsid w:val="001D545D"/>
    <w:rsid w:val="001D581D"/>
    <w:rsid w:val="001D5C39"/>
    <w:rsid w:val="001D5CDD"/>
    <w:rsid w:val="001D6187"/>
    <w:rsid w:val="001D65E4"/>
    <w:rsid w:val="001D748F"/>
    <w:rsid w:val="001E1A41"/>
    <w:rsid w:val="001E34F4"/>
    <w:rsid w:val="001E3E37"/>
    <w:rsid w:val="001E4754"/>
    <w:rsid w:val="001F13FC"/>
    <w:rsid w:val="001F14A4"/>
    <w:rsid w:val="001F2292"/>
    <w:rsid w:val="001F2705"/>
    <w:rsid w:val="001F44F6"/>
    <w:rsid w:val="001F50D3"/>
    <w:rsid w:val="001F61B5"/>
    <w:rsid w:val="002001AA"/>
    <w:rsid w:val="00200BF6"/>
    <w:rsid w:val="00203961"/>
    <w:rsid w:val="00204EF3"/>
    <w:rsid w:val="002064D4"/>
    <w:rsid w:val="00206E44"/>
    <w:rsid w:val="002070B5"/>
    <w:rsid w:val="0021261E"/>
    <w:rsid w:val="002126EA"/>
    <w:rsid w:val="0021470C"/>
    <w:rsid w:val="00220071"/>
    <w:rsid w:val="00220A3A"/>
    <w:rsid w:val="002218AA"/>
    <w:rsid w:val="0022498E"/>
    <w:rsid w:val="00231AD3"/>
    <w:rsid w:val="00231F17"/>
    <w:rsid w:val="00232C37"/>
    <w:rsid w:val="00232DF2"/>
    <w:rsid w:val="00236A27"/>
    <w:rsid w:val="00237948"/>
    <w:rsid w:val="0024550F"/>
    <w:rsid w:val="002462FD"/>
    <w:rsid w:val="0025011D"/>
    <w:rsid w:val="002613C0"/>
    <w:rsid w:val="00264533"/>
    <w:rsid w:val="00264BBD"/>
    <w:rsid w:val="00264D8A"/>
    <w:rsid w:val="002654E4"/>
    <w:rsid w:val="00265CE9"/>
    <w:rsid w:val="00266F27"/>
    <w:rsid w:val="002674DA"/>
    <w:rsid w:val="002706E5"/>
    <w:rsid w:val="00270A70"/>
    <w:rsid w:val="002727DB"/>
    <w:rsid w:val="002758E3"/>
    <w:rsid w:val="00277694"/>
    <w:rsid w:val="00281D38"/>
    <w:rsid w:val="00282AF5"/>
    <w:rsid w:val="00286BB9"/>
    <w:rsid w:val="00287120"/>
    <w:rsid w:val="00287C29"/>
    <w:rsid w:val="00290096"/>
    <w:rsid w:val="00290471"/>
    <w:rsid w:val="00291354"/>
    <w:rsid w:val="00291C34"/>
    <w:rsid w:val="00296BAC"/>
    <w:rsid w:val="00297311"/>
    <w:rsid w:val="0029786B"/>
    <w:rsid w:val="00297E2B"/>
    <w:rsid w:val="002A24FB"/>
    <w:rsid w:val="002A67FC"/>
    <w:rsid w:val="002A707F"/>
    <w:rsid w:val="002B06AF"/>
    <w:rsid w:val="002B0D4D"/>
    <w:rsid w:val="002B3203"/>
    <w:rsid w:val="002B651F"/>
    <w:rsid w:val="002B7069"/>
    <w:rsid w:val="002B79A6"/>
    <w:rsid w:val="002C182E"/>
    <w:rsid w:val="002C18D9"/>
    <w:rsid w:val="002C2C1A"/>
    <w:rsid w:val="002C41AD"/>
    <w:rsid w:val="002C5D52"/>
    <w:rsid w:val="002C7780"/>
    <w:rsid w:val="002C7A8B"/>
    <w:rsid w:val="002D1B13"/>
    <w:rsid w:val="002D3495"/>
    <w:rsid w:val="002D58F3"/>
    <w:rsid w:val="002D6160"/>
    <w:rsid w:val="002D7055"/>
    <w:rsid w:val="002E09C6"/>
    <w:rsid w:val="002E310E"/>
    <w:rsid w:val="002E41E3"/>
    <w:rsid w:val="002E532B"/>
    <w:rsid w:val="002E7CE1"/>
    <w:rsid w:val="002F1E9D"/>
    <w:rsid w:val="002F2A64"/>
    <w:rsid w:val="002F4C49"/>
    <w:rsid w:val="002F52D2"/>
    <w:rsid w:val="003004AE"/>
    <w:rsid w:val="0030192F"/>
    <w:rsid w:val="00303BFC"/>
    <w:rsid w:val="00304157"/>
    <w:rsid w:val="00304807"/>
    <w:rsid w:val="003056B0"/>
    <w:rsid w:val="00305FBB"/>
    <w:rsid w:val="00313033"/>
    <w:rsid w:val="00313869"/>
    <w:rsid w:val="00316380"/>
    <w:rsid w:val="00316651"/>
    <w:rsid w:val="003169D9"/>
    <w:rsid w:val="00317470"/>
    <w:rsid w:val="00317CA2"/>
    <w:rsid w:val="003204B1"/>
    <w:rsid w:val="0033388F"/>
    <w:rsid w:val="00333EF5"/>
    <w:rsid w:val="00334C73"/>
    <w:rsid w:val="00334DAE"/>
    <w:rsid w:val="00335B00"/>
    <w:rsid w:val="003410F4"/>
    <w:rsid w:val="00343EBA"/>
    <w:rsid w:val="00344209"/>
    <w:rsid w:val="00346BFB"/>
    <w:rsid w:val="0035495F"/>
    <w:rsid w:val="00354F7D"/>
    <w:rsid w:val="003553E7"/>
    <w:rsid w:val="00356B7D"/>
    <w:rsid w:val="00356F7B"/>
    <w:rsid w:val="003570DD"/>
    <w:rsid w:val="0036617A"/>
    <w:rsid w:val="003710F4"/>
    <w:rsid w:val="00371E82"/>
    <w:rsid w:val="00372877"/>
    <w:rsid w:val="00373C34"/>
    <w:rsid w:val="00375AF0"/>
    <w:rsid w:val="00376B05"/>
    <w:rsid w:val="00376E91"/>
    <w:rsid w:val="00383D24"/>
    <w:rsid w:val="003845C3"/>
    <w:rsid w:val="00384DD4"/>
    <w:rsid w:val="00384F72"/>
    <w:rsid w:val="003939CA"/>
    <w:rsid w:val="00393B2D"/>
    <w:rsid w:val="00394122"/>
    <w:rsid w:val="00394147"/>
    <w:rsid w:val="00394157"/>
    <w:rsid w:val="00395E98"/>
    <w:rsid w:val="00396528"/>
    <w:rsid w:val="00396DCB"/>
    <w:rsid w:val="003A00C8"/>
    <w:rsid w:val="003A2711"/>
    <w:rsid w:val="003A2FE9"/>
    <w:rsid w:val="003A33C2"/>
    <w:rsid w:val="003A3A9F"/>
    <w:rsid w:val="003A3BC2"/>
    <w:rsid w:val="003A3CA2"/>
    <w:rsid w:val="003A6E55"/>
    <w:rsid w:val="003B0B4A"/>
    <w:rsid w:val="003B10C0"/>
    <w:rsid w:val="003B13A7"/>
    <w:rsid w:val="003B3B3F"/>
    <w:rsid w:val="003B3D83"/>
    <w:rsid w:val="003B5920"/>
    <w:rsid w:val="003C12D9"/>
    <w:rsid w:val="003C20C8"/>
    <w:rsid w:val="003C32E0"/>
    <w:rsid w:val="003C38FB"/>
    <w:rsid w:val="003C76BB"/>
    <w:rsid w:val="003D1E9B"/>
    <w:rsid w:val="003D493C"/>
    <w:rsid w:val="003D766C"/>
    <w:rsid w:val="003D7A42"/>
    <w:rsid w:val="003E0F5E"/>
    <w:rsid w:val="003E1437"/>
    <w:rsid w:val="003E2D92"/>
    <w:rsid w:val="003E2F8F"/>
    <w:rsid w:val="003E3E7F"/>
    <w:rsid w:val="003F2111"/>
    <w:rsid w:val="003F3829"/>
    <w:rsid w:val="003F46B6"/>
    <w:rsid w:val="003F52F0"/>
    <w:rsid w:val="003F6A60"/>
    <w:rsid w:val="00402313"/>
    <w:rsid w:val="0040798C"/>
    <w:rsid w:val="00407B51"/>
    <w:rsid w:val="00407CD0"/>
    <w:rsid w:val="00410622"/>
    <w:rsid w:val="00411415"/>
    <w:rsid w:val="004125A0"/>
    <w:rsid w:val="0041523D"/>
    <w:rsid w:val="0041537C"/>
    <w:rsid w:val="00417510"/>
    <w:rsid w:val="00417A78"/>
    <w:rsid w:val="00417E2D"/>
    <w:rsid w:val="004305DA"/>
    <w:rsid w:val="00434850"/>
    <w:rsid w:val="00435298"/>
    <w:rsid w:val="00435A65"/>
    <w:rsid w:val="00436928"/>
    <w:rsid w:val="00437853"/>
    <w:rsid w:val="00437AE0"/>
    <w:rsid w:val="004416D2"/>
    <w:rsid w:val="00441C38"/>
    <w:rsid w:val="0044358F"/>
    <w:rsid w:val="00444A6F"/>
    <w:rsid w:val="00444E75"/>
    <w:rsid w:val="004508B3"/>
    <w:rsid w:val="00452EE4"/>
    <w:rsid w:val="0045380F"/>
    <w:rsid w:val="00454EB9"/>
    <w:rsid w:val="00455187"/>
    <w:rsid w:val="004575CC"/>
    <w:rsid w:val="0046186A"/>
    <w:rsid w:val="00465530"/>
    <w:rsid w:val="00466309"/>
    <w:rsid w:val="004666F7"/>
    <w:rsid w:val="004669FA"/>
    <w:rsid w:val="00466BF1"/>
    <w:rsid w:val="00467ED7"/>
    <w:rsid w:val="004731D0"/>
    <w:rsid w:val="004755C9"/>
    <w:rsid w:val="00476C5A"/>
    <w:rsid w:val="00481793"/>
    <w:rsid w:val="00482585"/>
    <w:rsid w:val="00484F20"/>
    <w:rsid w:val="00491784"/>
    <w:rsid w:val="00491B70"/>
    <w:rsid w:val="004930D5"/>
    <w:rsid w:val="00493CBE"/>
    <w:rsid w:val="004951B4"/>
    <w:rsid w:val="00496EDD"/>
    <w:rsid w:val="004A058D"/>
    <w:rsid w:val="004A118E"/>
    <w:rsid w:val="004A5D0D"/>
    <w:rsid w:val="004A739F"/>
    <w:rsid w:val="004B0372"/>
    <w:rsid w:val="004B5FF6"/>
    <w:rsid w:val="004B62F7"/>
    <w:rsid w:val="004C0A19"/>
    <w:rsid w:val="004C30E4"/>
    <w:rsid w:val="004C4CA2"/>
    <w:rsid w:val="004C63D9"/>
    <w:rsid w:val="004C7274"/>
    <w:rsid w:val="004C74E9"/>
    <w:rsid w:val="004D0E94"/>
    <w:rsid w:val="004D305D"/>
    <w:rsid w:val="004D41D7"/>
    <w:rsid w:val="004D453D"/>
    <w:rsid w:val="004D4558"/>
    <w:rsid w:val="004D4B23"/>
    <w:rsid w:val="004D5162"/>
    <w:rsid w:val="004D5AB4"/>
    <w:rsid w:val="004D6C2F"/>
    <w:rsid w:val="004D7A81"/>
    <w:rsid w:val="004E1826"/>
    <w:rsid w:val="004E3D67"/>
    <w:rsid w:val="004E43E7"/>
    <w:rsid w:val="004E4C8A"/>
    <w:rsid w:val="004E5A1B"/>
    <w:rsid w:val="004F023D"/>
    <w:rsid w:val="004F1BFF"/>
    <w:rsid w:val="004F1D79"/>
    <w:rsid w:val="004F3516"/>
    <w:rsid w:val="004F3639"/>
    <w:rsid w:val="004F3A20"/>
    <w:rsid w:val="004F4AB3"/>
    <w:rsid w:val="004F60A7"/>
    <w:rsid w:val="004F77E3"/>
    <w:rsid w:val="0050209A"/>
    <w:rsid w:val="0050317D"/>
    <w:rsid w:val="00503410"/>
    <w:rsid w:val="00503971"/>
    <w:rsid w:val="00510436"/>
    <w:rsid w:val="00512F5F"/>
    <w:rsid w:val="005158B3"/>
    <w:rsid w:val="005158DA"/>
    <w:rsid w:val="0051746E"/>
    <w:rsid w:val="00521590"/>
    <w:rsid w:val="00521A93"/>
    <w:rsid w:val="005271C2"/>
    <w:rsid w:val="00527DFE"/>
    <w:rsid w:val="00527E48"/>
    <w:rsid w:val="00530D58"/>
    <w:rsid w:val="0053276A"/>
    <w:rsid w:val="00533116"/>
    <w:rsid w:val="00534E6E"/>
    <w:rsid w:val="005368BF"/>
    <w:rsid w:val="0054198B"/>
    <w:rsid w:val="00543290"/>
    <w:rsid w:val="00544F1B"/>
    <w:rsid w:val="005452AF"/>
    <w:rsid w:val="00546936"/>
    <w:rsid w:val="00546C5F"/>
    <w:rsid w:val="00552032"/>
    <w:rsid w:val="00552205"/>
    <w:rsid w:val="0055280D"/>
    <w:rsid w:val="00552C69"/>
    <w:rsid w:val="00553A23"/>
    <w:rsid w:val="00555303"/>
    <w:rsid w:val="005561B1"/>
    <w:rsid w:val="005600A7"/>
    <w:rsid w:val="00560EBA"/>
    <w:rsid w:val="005611AE"/>
    <w:rsid w:val="0056295C"/>
    <w:rsid w:val="0056487F"/>
    <w:rsid w:val="005766D7"/>
    <w:rsid w:val="00580CE4"/>
    <w:rsid w:val="0058173E"/>
    <w:rsid w:val="00581E24"/>
    <w:rsid w:val="00584D47"/>
    <w:rsid w:val="00584DD4"/>
    <w:rsid w:val="00591060"/>
    <w:rsid w:val="00591322"/>
    <w:rsid w:val="00592119"/>
    <w:rsid w:val="005926EA"/>
    <w:rsid w:val="0059562A"/>
    <w:rsid w:val="005969B5"/>
    <w:rsid w:val="00597D3B"/>
    <w:rsid w:val="005A04D8"/>
    <w:rsid w:val="005A21AA"/>
    <w:rsid w:val="005A472D"/>
    <w:rsid w:val="005A4C08"/>
    <w:rsid w:val="005A61F8"/>
    <w:rsid w:val="005A6626"/>
    <w:rsid w:val="005B002C"/>
    <w:rsid w:val="005B069E"/>
    <w:rsid w:val="005B272D"/>
    <w:rsid w:val="005B3BF6"/>
    <w:rsid w:val="005B4E04"/>
    <w:rsid w:val="005B50EE"/>
    <w:rsid w:val="005B514C"/>
    <w:rsid w:val="005B5B11"/>
    <w:rsid w:val="005B6482"/>
    <w:rsid w:val="005B668C"/>
    <w:rsid w:val="005C0101"/>
    <w:rsid w:val="005C2724"/>
    <w:rsid w:val="005D28C4"/>
    <w:rsid w:val="005D3A99"/>
    <w:rsid w:val="005D6488"/>
    <w:rsid w:val="005E0DCA"/>
    <w:rsid w:val="005E0E72"/>
    <w:rsid w:val="005E4CC9"/>
    <w:rsid w:val="005E6437"/>
    <w:rsid w:val="005F69AB"/>
    <w:rsid w:val="005F7236"/>
    <w:rsid w:val="005F740D"/>
    <w:rsid w:val="0060006D"/>
    <w:rsid w:val="00600F45"/>
    <w:rsid w:val="006016FA"/>
    <w:rsid w:val="006107EA"/>
    <w:rsid w:val="006154FE"/>
    <w:rsid w:val="00620204"/>
    <w:rsid w:val="00625F74"/>
    <w:rsid w:val="00635DB4"/>
    <w:rsid w:val="0063601C"/>
    <w:rsid w:val="0063737F"/>
    <w:rsid w:val="0064041D"/>
    <w:rsid w:val="006404C7"/>
    <w:rsid w:val="00641D6D"/>
    <w:rsid w:val="0064286B"/>
    <w:rsid w:val="006447F9"/>
    <w:rsid w:val="0064566E"/>
    <w:rsid w:val="00652B5D"/>
    <w:rsid w:val="00653A2B"/>
    <w:rsid w:val="00654B13"/>
    <w:rsid w:val="00655DDE"/>
    <w:rsid w:val="00662B2D"/>
    <w:rsid w:val="00663231"/>
    <w:rsid w:val="00665998"/>
    <w:rsid w:val="00665C5F"/>
    <w:rsid w:val="00665F73"/>
    <w:rsid w:val="00666486"/>
    <w:rsid w:val="00674291"/>
    <w:rsid w:val="00675C24"/>
    <w:rsid w:val="0068017E"/>
    <w:rsid w:val="00681408"/>
    <w:rsid w:val="00682DFA"/>
    <w:rsid w:val="00682F4C"/>
    <w:rsid w:val="00682F7B"/>
    <w:rsid w:val="0068563D"/>
    <w:rsid w:val="00686ABB"/>
    <w:rsid w:val="00687661"/>
    <w:rsid w:val="00687954"/>
    <w:rsid w:val="00691BBC"/>
    <w:rsid w:val="0069261D"/>
    <w:rsid w:val="00694F69"/>
    <w:rsid w:val="00697C80"/>
    <w:rsid w:val="006A023D"/>
    <w:rsid w:val="006A08EC"/>
    <w:rsid w:val="006A1F82"/>
    <w:rsid w:val="006A245E"/>
    <w:rsid w:val="006A35B2"/>
    <w:rsid w:val="006A374A"/>
    <w:rsid w:val="006A396E"/>
    <w:rsid w:val="006B1401"/>
    <w:rsid w:val="006B419C"/>
    <w:rsid w:val="006B442B"/>
    <w:rsid w:val="006C126A"/>
    <w:rsid w:val="006C2D0F"/>
    <w:rsid w:val="006D0C44"/>
    <w:rsid w:val="006D1E97"/>
    <w:rsid w:val="006D64AF"/>
    <w:rsid w:val="006D65E0"/>
    <w:rsid w:val="006D7333"/>
    <w:rsid w:val="006D76AD"/>
    <w:rsid w:val="006E0CE5"/>
    <w:rsid w:val="006E1039"/>
    <w:rsid w:val="006E1A4B"/>
    <w:rsid w:val="006E1AB0"/>
    <w:rsid w:val="006E3548"/>
    <w:rsid w:val="006E3E3E"/>
    <w:rsid w:val="006E3FDD"/>
    <w:rsid w:val="006E457C"/>
    <w:rsid w:val="006E656D"/>
    <w:rsid w:val="006E6AFA"/>
    <w:rsid w:val="006F1FF1"/>
    <w:rsid w:val="006F312D"/>
    <w:rsid w:val="006F35C3"/>
    <w:rsid w:val="006F5392"/>
    <w:rsid w:val="0070021C"/>
    <w:rsid w:val="00703A1F"/>
    <w:rsid w:val="00704FF3"/>
    <w:rsid w:val="0070582D"/>
    <w:rsid w:val="00706214"/>
    <w:rsid w:val="00710A3B"/>
    <w:rsid w:val="007116AA"/>
    <w:rsid w:val="00715409"/>
    <w:rsid w:val="00720A3B"/>
    <w:rsid w:val="0072239C"/>
    <w:rsid w:val="0072315F"/>
    <w:rsid w:val="0072378A"/>
    <w:rsid w:val="00725BCE"/>
    <w:rsid w:val="00734F39"/>
    <w:rsid w:val="007365F5"/>
    <w:rsid w:val="00737CB7"/>
    <w:rsid w:val="00740E98"/>
    <w:rsid w:val="00741E14"/>
    <w:rsid w:val="0074397B"/>
    <w:rsid w:val="00750951"/>
    <w:rsid w:val="007529B2"/>
    <w:rsid w:val="00752C02"/>
    <w:rsid w:val="00753277"/>
    <w:rsid w:val="007550C7"/>
    <w:rsid w:val="00755621"/>
    <w:rsid w:val="00757205"/>
    <w:rsid w:val="00761CD7"/>
    <w:rsid w:val="00762A07"/>
    <w:rsid w:val="007635F2"/>
    <w:rsid w:val="00765CCC"/>
    <w:rsid w:val="00765D9F"/>
    <w:rsid w:val="0076791B"/>
    <w:rsid w:val="00767C96"/>
    <w:rsid w:val="00770861"/>
    <w:rsid w:val="007751F1"/>
    <w:rsid w:val="007758EA"/>
    <w:rsid w:val="0077738E"/>
    <w:rsid w:val="00780162"/>
    <w:rsid w:val="00780CCB"/>
    <w:rsid w:val="0078273B"/>
    <w:rsid w:val="00782E5A"/>
    <w:rsid w:val="00783003"/>
    <w:rsid w:val="007904C5"/>
    <w:rsid w:val="00792869"/>
    <w:rsid w:val="00792F5D"/>
    <w:rsid w:val="00792F97"/>
    <w:rsid w:val="007A26CA"/>
    <w:rsid w:val="007A30B8"/>
    <w:rsid w:val="007A3103"/>
    <w:rsid w:val="007A45AB"/>
    <w:rsid w:val="007A464A"/>
    <w:rsid w:val="007B240A"/>
    <w:rsid w:val="007B2D1D"/>
    <w:rsid w:val="007B425B"/>
    <w:rsid w:val="007B53E2"/>
    <w:rsid w:val="007B62FF"/>
    <w:rsid w:val="007C0C3A"/>
    <w:rsid w:val="007C11BE"/>
    <w:rsid w:val="007C2799"/>
    <w:rsid w:val="007C4417"/>
    <w:rsid w:val="007C4CA6"/>
    <w:rsid w:val="007C5998"/>
    <w:rsid w:val="007C5F49"/>
    <w:rsid w:val="007C7ACE"/>
    <w:rsid w:val="007D1934"/>
    <w:rsid w:val="007D3A6E"/>
    <w:rsid w:val="007D4231"/>
    <w:rsid w:val="007E010B"/>
    <w:rsid w:val="007E0518"/>
    <w:rsid w:val="007E3081"/>
    <w:rsid w:val="007E310A"/>
    <w:rsid w:val="007E4051"/>
    <w:rsid w:val="007E7FDA"/>
    <w:rsid w:val="007F0320"/>
    <w:rsid w:val="007F0364"/>
    <w:rsid w:val="007F188E"/>
    <w:rsid w:val="007F410A"/>
    <w:rsid w:val="007F5897"/>
    <w:rsid w:val="007F5C42"/>
    <w:rsid w:val="007F6FE6"/>
    <w:rsid w:val="007F7AE8"/>
    <w:rsid w:val="007F7E7A"/>
    <w:rsid w:val="0080093B"/>
    <w:rsid w:val="0080118B"/>
    <w:rsid w:val="008024F6"/>
    <w:rsid w:val="00803D22"/>
    <w:rsid w:val="00807270"/>
    <w:rsid w:val="0080752A"/>
    <w:rsid w:val="00807AF7"/>
    <w:rsid w:val="0081189B"/>
    <w:rsid w:val="0081225B"/>
    <w:rsid w:val="0081760E"/>
    <w:rsid w:val="008178BC"/>
    <w:rsid w:val="0082148B"/>
    <w:rsid w:val="00823C43"/>
    <w:rsid w:val="0082768E"/>
    <w:rsid w:val="008321C3"/>
    <w:rsid w:val="00833508"/>
    <w:rsid w:val="00837C2B"/>
    <w:rsid w:val="00841D70"/>
    <w:rsid w:val="0084254C"/>
    <w:rsid w:val="00844E76"/>
    <w:rsid w:val="00847216"/>
    <w:rsid w:val="00850A76"/>
    <w:rsid w:val="00851043"/>
    <w:rsid w:val="00852A5F"/>
    <w:rsid w:val="008534F7"/>
    <w:rsid w:val="008547E0"/>
    <w:rsid w:val="00855ACF"/>
    <w:rsid w:val="0085641B"/>
    <w:rsid w:val="0085796C"/>
    <w:rsid w:val="00861C12"/>
    <w:rsid w:val="00866821"/>
    <w:rsid w:val="00866DB7"/>
    <w:rsid w:val="00867224"/>
    <w:rsid w:val="00867DD4"/>
    <w:rsid w:val="00870400"/>
    <w:rsid w:val="00871900"/>
    <w:rsid w:val="00872379"/>
    <w:rsid w:val="008731A6"/>
    <w:rsid w:val="00876564"/>
    <w:rsid w:val="00876D5F"/>
    <w:rsid w:val="00877B38"/>
    <w:rsid w:val="00881EF9"/>
    <w:rsid w:val="008852FB"/>
    <w:rsid w:val="00887514"/>
    <w:rsid w:val="008878EA"/>
    <w:rsid w:val="00892FD7"/>
    <w:rsid w:val="00893F2E"/>
    <w:rsid w:val="008A0BE1"/>
    <w:rsid w:val="008A0CC2"/>
    <w:rsid w:val="008A19EA"/>
    <w:rsid w:val="008A35E4"/>
    <w:rsid w:val="008A51EC"/>
    <w:rsid w:val="008B03A5"/>
    <w:rsid w:val="008B166E"/>
    <w:rsid w:val="008B1C3A"/>
    <w:rsid w:val="008B51D0"/>
    <w:rsid w:val="008C02E8"/>
    <w:rsid w:val="008C436D"/>
    <w:rsid w:val="008C54AA"/>
    <w:rsid w:val="008D1840"/>
    <w:rsid w:val="008D2C5A"/>
    <w:rsid w:val="008D37A3"/>
    <w:rsid w:val="008D542F"/>
    <w:rsid w:val="008D64D3"/>
    <w:rsid w:val="008D6FDD"/>
    <w:rsid w:val="008D7226"/>
    <w:rsid w:val="008E1083"/>
    <w:rsid w:val="008E44D0"/>
    <w:rsid w:val="008E4AD0"/>
    <w:rsid w:val="008E530B"/>
    <w:rsid w:val="008E7A9A"/>
    <w:rsid w:val="008E7C97"/>
    <w:rsid w:val="008E7DBE"/>
    <w:rsid w:val="008F0B75"/>
    <w:rsid w:val="008F0E03"/>
    <w:rsid w:val="008F2714"/>
    <w:rsid w:val="008F2763"/>
    <w:rsid w:val="008F2F14"/>
    <w:rsid w:val="008F33E0"/>
    <w:rsid w:val="008F439D"/>
    <w:rsid w:val="008F4BA6"/>
    <w:rsid w:val="008F4BAC"/>
    <w:rsid w:val="008F6AC1"/>
    <w:rsid w:val="008F76CE"/>
    <w:rsid w:val="008F7CFC"/>
    <w:rsid w:val="009012C0"/>
    <w:rsid w:val="00904FFD"/>
    <w:rsid w:val="00910A71"/>
    <w:rsid w:val="009118EA"/>
    <w:rsid w:val="00912014"/>
    <w:rsid w:val="009124DD"/>
    <w:rsid w:val="009127CE"/>
    <w:rsid w:val="009144C2"/>
    <w:rsid w:val="00914B71"/>
    <w:rsid w:val="009162A3"/>
    <w:rsid w:val="00921012"/>
    <w:rsid w:val="009229A4"/>
    <w:rsid w:val="00924E5F"/>
    <w:rsid w:val="00925266"/>
    <w:rsid w:val="009254EB"/>
    <w:rsid w:val="00930092"/>
    <w:rsid w:val="00930667"/>
    <w:rsid w:val="00930790"/>
    <w:rsid w:val="00930C31"/>
    <w:rsid w:val="009316A7"/>
    <w:rsid w:val="00931BD7"/>
    <w:rsid w:val="00932A6F"/>
    <w:rsid w:val="00933CD2"/>
    <w:rsid w:val="00937720"/>
    <w:rsid w:val="00937759"/>
    <w:rsid w:val="00940C1D"/>
    <w:rsid w:val="009510BF"/>
    <w:rsid w:val="00953120"/>
    <w:rsid w:val="00955A24"/>
    <w:rsid w:val="00955F8B"/>
    <w:rsid w:val="00956659"/>
    <w:rsid w:val="009611B9"/>
    <w:rsid w:val="0096354E"/>
    <w:rsid w:val="00963E06"/>
    <w:rsid w:val="009640CA"/>
    <w:rsid w:val="00964C57"/>
    <w:rsid w:val="00966FC8"/>
    <w:rsid w:val="00971336"/>
    <w:rsid w:val="00971342"/>
    <w:rsid w:val="00972B5D"/>
    <w:rsid w:val="00974599"/>
    <w:rsid w:val="00974D8F"/>
    <w:rsid w:val="00976011"/>
    <w:rsid w:val="009763D3"/>
    <w:rsid w:val="00977F23"/>
    <w:rsid w:val="009804BE"/>
    <w:rsid w:val="0098762F"/>
    <w:rsid w:val="0099017F"/>
    <w:rsid w:val="00990D5F"/>
    <w:rsid w:val="009942EB"/>
    <w:rsid w:val="00994312"/>
    <w:rsid w:val="00996113"/>
    <w:rsid w:val="00997A60"/>
    <w:rsid w:val="009A12A5"/>
    <w:rsid w:val="009A1409"/>
    <w:rsid w:val="009A45CA"/>
    <w:rsid w:val="009A4A93"/>
    <w:rsid w:val="009A6561"/>
    <w:rsid w:val="009B04F3"/>
    <w:rsid w:val="009B0996"/>
    <w:rsid w:val="009B1A75"/>
    <w:rsid w:val="009B3702"/>
    <w:rsid w:val="009B41B3"/>
    <w:rsid w:val="009B5B98"/>
    <w:rsid w:val="009B5D30"/>
    <w:rsid w:val="009B7328"/>
    <w:rsid w:val="009C1A88"/>
    <w:rsid w:val="009C3D2A"/>
    <w:rsid w:val="009C3F6C"/>
    <w:rsid w:val="009C5D51"/>
    <w:rsid w:val="009C6973"/>
    <w:rsid w:val="009E1AAC"/>
    <w:rsid w:val="009E7783"/>
    <w:rsid w:val="009F09BF"/>
    <w:rsid w:val="009F0F00"/>
    <w:rsid w:val="009F14D3"/>
    <w:rsid w:val="009F1700"/>
    <w:rsid w:val="009F1B31"/>
    <w:rsid w:val="009F4D0E"/>
    <w:rsid w:val="00A01FA2"/>
    <w:rsid w:val="00A03B6B"/>
    <w:rsid w:val="00A05A1D"/>
    <w:rsid w:val="00A06803"/>
    <w:rsid w:val="00A102F1"/>
    <w:rsid w:val="00A11347"/>
    <w:rsid w:val="00A114F0"/>
    <w:rsid w:val="00A154C9"/>
    <w:rsid w:val="00A16B18"/>
    <w:rsid w:val="00A16D28"/>
    <w:rsid w:val="00A1722B"/>
    <w:rsid w:val="00A22B1D"/>
    <w:rsid w:val="00A26CD8"/>
    <w:rsid w:val="00A37388"/>
    <w:rsid w:val="00A42673"/>
    <w:rsid w:val="00A44398"/>
    <w:rsid w:val="00A45636"/>
    <w:rsid w:val="00A509B1"/>
    <w:rsid w:val="00A50A64"/>
    <w:rsid w:val="00A52353"/>
    <w:rsid w:val="00A55058"/>
    <w:rsid w:val="00A5561F"/>
    <w:rsid w:val="00A6014E"/>
    <w:rsid w:val="00A6015B"/>
    <w:rsid w:val="00A6034E"/>
    <w:rsid w:val="00A6070A"/>
    <w:rsid w:val="00A61000"/>
    <w:rsid w:val="00A61229"/>
    <w:rsid w:val="00A619E3"/>
    <w:rsid w:val="00A6246E"/>
    <w:rsid w:val="00A6359F"/>
    <w:rsid w:val="00A64FD7"/>
    <w:rsid w:val="00A674FE"/>
    <w:rsid w:val="00A67F68"/>
    <w:rsid w:val="00A700C8"/>
    <w:rsid w:val="00A73D73"/>
    <w:rsid w:val="00A80FD9"/>
    <w:rsid w:val="00A81EFE"/>
    <w:rsid w:val="00A83642"/>
    <w:rsid w:val="00A8673A"/>
    <w:rsid w:val="00A86DDB"/>
    <w:rsid w:val="00A92B35"/>
    <w:rsid w:val="00A92D5A"/>
    <w:rsid w:val="00A93EDD"/>
    <w:rsid w:val="00A95865"/>
    <w:rsid w:val="00A958B8"/>
    <w:rsid w:val="00A95BC9"/>
    <w:rsid w:val="00A96F74"/>
    <w:rsid w:val="00AA0939"/>
    <w:rsid w:val="00AA0FD4"/>
    <w:rsid w:val="00AA1E25"/>
    <w:rsid w:val="00AA1FF0"/>
    <w:rsid w:val="00AA3246"/>
    <w:rsid w:val="00AA3A82"/>
    <w:rsid w:val="00AA4619"/>
    <w:rsid w:val="00AA529C"/>
    <w:rsid w:val="00AA56D6"/>
    <w:rsid w:val="00AA5B40"/>
    <w:rsid w:val="00AA763A"/>
    <w:rsid w:val="00AB02A9"/>
    <w:rsid w:val="00AB4268"/>
    <w:rsid w:val="00AB4C3C"/>
    <w:rsid w:val="00AB4F20"/>
    <w:rsid w:val="00AB53B4"/>
    <w:rsid w:val="00AC02C8"/>
    <w:rsid w:val="00AC06E1"/>
    <w:rsid w:val="00AC120F"/>
    <w:rsid w:val="00AC31D1"/>
    <w:rsid w:val="00AC3E73"/>
    <w:rsid w:val="00AC3F71"/>
    <w:rsid w:val="00AD1303"/>
    <w:rsid w:val="00AD18A2"/>
    <w:rsid w:val="00AD30F9"/>
    <w:rsid w:val="00AD4D4C"/>
    <w:rsid w:val="00AD7761"/>
    <w:rsid w:val="00AE12CB"/>
    <w:rsid w:val="00AE2952"/>
    <w:rsid w:val="00AE3EC1"/>
    <w:rsid w:val="00AE650D"/>
    <w:rsid w:val="00AF1775"/>
    <w:rsid w:val="00AF2270"/>
    <w:rsid w:val="00AF2DC1"/>
    <w:rsid w:val="00AF4A68"/>
    <w:rsid w:val="00B00466"/>
    <w:rsid w:val="00B02F3F"/>
    <w:rsid w:val="00B0447D"/>
    <w:rsid w:val="00B052E6"/>
    <w:rsid w:val="00B1082A"/>
    <w:rsid w:val="00B10DF8"/>
    <w:rsid w:val="00B119B0"/>
    <w:rsid w:val="00B11A25"/>
    <w:rsid w:val="00B1370A"/>
    <w:rsid w:val="00B15E5C"/>
    <w:rsid w:val="00B165C4"/>
    <w:rsid w:val="00B2308C"/>
    <w:rsid w:val="00B30306"/>
    <w:rsid w:val="00B30F14"/>
    <w:rsid w:val="00B327F0"/>
    <w:rsid w:val="00B34511"/>
    <w:rsid w:val="00B4013C"/>
    <w:rsid w:val="00B41648"/>
    <w:rsid w:val="00B42436"/>
    <w:rsid w:val="00B472F1"/>
    <w:rsid w:val="00B51AD4"/>
    <w:rsid w:val="00B529C8"/>
    <w:rsid w:val="00B537B7"/>
    <w:rsid w:val="00B53AED"/>
    <w:rsid w:val="00B53C3A"/>
    <w:rsid w:val="00B549D7"/>
    <w:rsid w:val="00B57DE6"/>
    <w:rsid w:val="00B61132"/>
    <w:rsid w:val="00B6161D"/>
    <w:rsid w:val="00B6189B"/>
    <w:rsid w:val="00B61A79"/>
    <w:rsid w:val="00B61C99"/>
    <w:rsid w:val="00B65F61"/>
    <w:rsid w:val="00B667D4"/>
    <w:rsid w:val="00B704CA"/>
    <w:rsid w:val="00B719B9"/>
    <w:rsid w:val="00B7203C"/>
    <w:rsid w:val="00B75280"/>
    <w:rsid w:val="00B754CC"/>
    <w:rsid w:val="00B76ED6"/>
    <w:rsid w:val="00B80906"/>
    <w:rsid w:val="00B8552C"/>
    <w:rsid w:val="00B86798"/>
    <w:rsid w:val="00B90B08"/>
    <w:rsid w:val="00B918EA"/>
    <w:rsid w:val="00B95E7C"/>
    <w:rsid w:val="00B95F51"/>
    <w:rsid w:val="00B973A9"/>
    <w:rsid w:val="00BA0BA7"/>
    <w:rsid w:val="00BA0D01"/>
    <w:rsid w:val="00BA6B03"/>
    <w:rsid w:val="00BB1A70"/>
    <w:rsid w:val="00BB7745"/>
    <w:rsid w:val="00BB78CB"/>
    <w:rsid w:val="00BB7AE6"/>
    <w:rsid w:val="00BC0277"/>
    <w:rsid w:val="00BC0EBC"/>
    <w:rsid w:val="00BC18F2"/>
    <w:rsid w:val="00BC24CF"/>
    <w:rsid w:val="00BC302C"/>
    <w:rsid w:val="00BC31C8"/>
    <w:rsid w:val="00BC617B"/>
    <w:rsid w:val="00BC7AF2"/>
    <w:rsid w:val="00BD0299"/>
    <w:rsid w:val="00BD125E"/>
    <w:rsid w:val="00BD13F8"/>
    <w:rsid w:val="00BD31EB"/>
    <w:rsid w:val="00BD3709"/>
    <w:rsid w:val="00BD3CE2"/>
    <w:rsid w:val="00BD6B38"/>
    <w:rsid w:val="00BE0482"/>
    <w:rsid w:val="00BE0924"/>
    <w:rsid w:val="00BE09B2"/>
    <w:rsid w:val="00BE29D1"/>
    <w:rsid w:val="00BE3F39"/>
    <w:rsid w:val="00BE5215"/>
    <w:rsid w:val="00BE6168"/>
    <w:rsid w:val="00BE6402"/>
    <w:rsid w:val="00BF007E"/>
    <w:rsid w:val="00BF067B"/>
    <w:rsid w:val="00BF1BE2"/>
    <w:rsid w:val="00BF3D28"/>
    <w:rsid w:val="00BF415A"/>
    <w:rsid w:val="00BF706B"/>
    <w:rsid w:val="00C02351"/>
    <w:rsid w:val="00C05205"/>
    <w:rsid w:val="00C067D8"/>
    <w:rsid w:val="00C12520"/>
    <w:rsid w:val="00C156DB"/>
    <w:rsid w:val="00C17A72"/>
    <w:rsid w:val="00C20FCD"/>
    <w:rsid w:val="00C21541"/>
    <w:rsid w:val="00C2466B"/>
    <w:rsid w:val="00C24D2B"/>
    <w:rsid w:val="00C260B2"/>
    <w:rsid w:val="00C26693"/>
    <w:rsid w:val="00C2671C"/>
    <w:rsid w:val="00C274CB"/>
    <w:rsid w:val="00C30B2D"/>
    <w:rsid w:val="00C30EDC"/>
    <w:rsid w:val="00C318E2"/>
    <w:rsid w:val="00C32170"/>
    <w:rsid w:val="00C32A96"/>
    <w:rsid w:val="00C33CFB"/>
    <w:rsid w:val="00C34E13"/>
    <w:rsid w:val="00C43477"/>
    <w:rsid w:val="00C45C43"/>
    <w:rsid w:val="00C4654C"/>
    <w:rsid w:val="00C4716E"/>
    <w:rsid w:val="00C471FB"/>
    <w:rsid w:val="00C47EAF"/>
    <w:rsid w:val="00C50897"/>
    <w:rsid w:val="00C551F0"/>
    <w:rsid w:val="00C561B9"/>
    <w:rsid w:val="00C6061F"/>
    <w:rsid w:val="00C619AB"/>
    <w:rsid w:val="00C6256F"/>
    <w:rsid w:val="00C636BB"/>
    <w:rsid w:val="00C63C16"/>
    <w:rsid w:val="00C6742E"/>
    <w:rsid w:val="00C70E6A"/>
    <w:rsid w:val="00C7174D"/>
    <w:rsid w:val="00C72232"/>
    <w:rsid w:val="00C75755"/>
    <w:rsid w:val="00C76253"/>
    <w:rsid w:val="00C76EDC"/>
    <w:rsid w:val="00C82B6F"/>
    <w:rsid w:val="00C82E4C"/>
    <w:rsid w:val="00C83DB1"/>
    <w:rsid w:val="00C87430"/>
    <w:rsid w:val="00C91676"/>
    <w:rsid w:val="00C9250F"/>
    <w:rsid w:val="00C94216"/>
    <w:rsid w:val="00C94D15"/>
    <w:rsid w:val="00C9602A"/>
    <w:rsid w:val="00C97D1B"/>
    <w:rsid w:val="00CA078D"/>
    <w:rsid w:val="00CA131E"/>
    <w:rsid w:val="00CA2382"/>
    <w:rsid w:val="00CA3A89"/>
    <w:rsid w:val="00CA64D1"/>
    <w:rsid w:val="00CA79AF"/>
    <w:rsid w:val="00CB4799"/>
    <w:rsid w:val="00CB6367"/>
    <w:rsid w:val="00CB6F58"/>
    <w:rsid w:val="00CC5D31"/>
    <w:rsid w:val="00CD275C"/>
    <w:rsid w:val="00CD319E"/>
    <w:rsid w:val="00CD4037"/>
    <w:rsid w:val="00CD65A8"/>
    <w:rsid w:val="00CD743F"/>
    <w:rsid w:val="00CE309D"/>
    <w:rsid w:val="00CE5FF0"/>
    <w:rsid w:val="00CE74F2"/>
    <w:rsid w:val="00CF0E34"/>
    <w:rsid w:val="00CF25DC"/>
    <w:rsid w:val="00CF4FF8"/>
    <w:rsid w:val="00CF5174"/>
    <w:rsid w:val="00CF6299"/>
    <w:rsid w:val="00CF7422"/>
    <w:rsid w:val="00D017D8"/>
    <w:rsid w:val="00D10379"/>
    <w:rsid w:val="00D1169B"/>
    <w:rsid w:val="00D1246A"/>
    <w:rsid w:val="00D144B4"/>
    <w:rsid w:val="00D204A7"/>
    <w:rsid w:val="00D22063"/>
    <w:rsid w:val="00D261BF"/>
    <w:rsid w:val="00D272B7"/>
    <w:rsid w:val="00D33D21"/>
    <w:rsid w:val="00D352C3"/>
    <w:rsid w:val="00D36B74"/>
    <w:rsid w:val="00D46B93"/>
    <w:rsid w:val="00D51C56"/>
    <w:rsid w:val="00D53160"/>
    <w:rsid w:val="00D5510F"/>
    <w:rsid w:val="00D60A1C"/>
    <w:rsid w:val="00D613FE"/>
    <w:rsid w:val="00D61762"/>
    <w:rsid w:val="00D6288D"/>
    <w:rsid w:val="00D636C5"/>
    <w:rsid w:val="00D66182"/>
    <w:rsid w:val="00D6664E"/>
    <w:rsid w:val="00D67389"/>
    <w:rsid w:val="00D70730"/>
    <w:rsid w:val="00D7084B"/>
    <w:rsid w:val="00D71730"/>
    <w:rsid w:val="00D72115"/>
    <w:rsid w:val="00D72494"/>
    <w:rsid w:val="00D7269A"/>
    <w:rsid w:val="00D73B76"/>
    <w:rsid w:val="00D7490C"/>
    <w:rsid w:val="00D77B01"/>
    <w:rsid w:val="00D81024"/>
    <w:rsid w:val="00D8182E"/>
    <w:rsid w:val="00D9088C"/>
    <w:rsid w:val="00D94912"/>
    <w:rsid w:val="00D94F36"/>
    <w:rsid w:val="00D95F64"/>
    <w:rsid w:val="00D979A9"/>
    <w:rsid w:val="00DA0FD0"/>
    <w:rsid w:val="00DA285B"/>
    <w:rsid w:val="00DA29F7"/>
    <w:rsid w:val="00DA2CE0"/>
    <w:rsid w:val="00DA78BE"/>
    <w:rsid w:val="00DB01E4"/>
    <w:rsid w:val="00DB0925"/>
    <w:rsid w:val="00DB0F24"/>
    <w:rsid w:val="00DB13FA"/>
    <w:rsid w:val="00DB31CF"/>
    <w:rsid w:val="00DB455C"/>
    <w:rsid w:val="00DB4F04"/>
    <w:rsid w:val="00DC2576"/>
    <w:rsid w:val="00DC4BBE"/>
    <w:rsid w:val="00DC4C51"/>
    <w:rsid w:val="00DC73B1"/>
    <w:rsid w:val="00DD062B"/>
    <w:rsid w:val="00DD2B41"/>
    <w:rsid w:val="00DD36D2"/>
    <w:rsid w:val="00DD3787"/>
    <w:rsid w:val="00DD63BC"/>
    <w:rsid w:val="00DE01EA"/>
    <w:rsid w:val="00DE3B33"/>
    <w:rsid w:val="00DE41BC"/>
    <w:rsid w:val="00DE4E29"/>
    <w:rsid w:val="00DF1BEA"/>
    <w:rsid w:val="00DF3006"/>
    <w:rsid w:val="00DF3D3A"/>
    <w:rsid w:val="00DF497C"/>
    <w:rsid w:val="00DF564A"/>
    <w:rsid w:val="00DF56F8"/>
    <w:rsid w:val="00DF628E"/>
    <w:rsid w:val="00DF6533"/>
    <w:rsid w:val="00DF658F"/>
    <w:rsid w:val="00DF6B9D"/>
    <w:rsid w:val="00E00A0D"/>
    <w:rsid w:val="00E00F8D"/>
    <w:rsid w:val="00E0353C"/>
    <w:rsid w:val="00E058AA"/>
    <w:rsid w:val="00E07BC3"/>
    <w:rsid w:val="00E1126B"/>
    <w:rsid w:val="00E127D8"/>
    <w:rsid w:val="00E13EFC"/>
    <w:rsid w:val="00E1464E"/>
    <w:rsid w:val="00E14A49"/>
    <w:rsid w:val="00E14F58"/>
    <w:rsid w:val="00E15909"/>
    <w:rsid w:val="00E15F72"/>
    <w:rsid w:val="00E17062"/>
    <w:rsid w:val="00E23C7D"/>
    <w:rsid w:val="00E26CD8"/>
    <w:rsid w:val="00E313A9"/>
    <w:rsid w:val="00E31BF3"/>
    <w:rsid w:val="00E3361D"/>
    <w:rsid w:val="00E33C4F"/>
    <w:rsid w:val="00E34EEE"/>
    <w:rsid w:val="00E353C6"/>
    <w:rsid w:val="00E35611"/>
    <w:rsid w:val="00E36B8E"/>
    <w:rsid w:val="00E36F43"/>
    <w:rsid w:val="00E40DE2"/>
    <w:rsid w:val="00E42F6C"/>
    <w:rsid w:val="00E4701F"/>
    <w:rsid w:val="00E47418"/>
    <w:rsid w:val="00E51F2F"/>
    <w:rsid w:val="00E53628"/>
    <w:rsid w:val="00E53DA2"/>
    <w:rsid w:val="00E53FB8"/>
    <w:rsid w:val="00E603C2"/>
    <w:rsid w:val="00E61735"/>
    <w:rsid w:val="00E65FAC"/>
    <w:rsid w:val="00E6716D"/>
    <w:rsid w:val="00E7049D"/>
    <w:rsid w:val="00E70B7B"/>
    <w:rsid w:val="00E7163A"/>
    <w:rsid w:val="00E73964"/>
    <w:rsid w:val="00E75487"/>
    <w:rsid w:val="00E77527"/>
    <w:rsid w:val="00E8651F"/>
    <w:rsid w:val="00E90B07"/>
    <w:rsid w:val="00E90B30"/>
    <w:rsid w:val="00E92AB8"/>
    <w:rsid w:val="00E94A31"/>
    <w:rsid w:val="00E95065"/>
    <w:rsid w:val="00E965BA"/>
    <w:rsid w:val="00E97A21"/>
    <w:rsid w:val="00EA1923"/>
    <w:rsid w:val="00EA1C86"/>
    <w:rsid w:val="00EB2E3D"/>
    <w:rsid w:val="00EC0DEB"/>
    <w:rsid w:val="00EC132E"/>
    <w:rsid w:val="00EC36CA"/>
    <w:rsid w:val="00EC462B"/>
    <w:rsid w:val="00EC467F"/>
    <w:rsid w:val="00EC485F"/>
    <w:rsid w:val="00EC6A98"/>
    <w:rsid w:val="00EC6BB3"/>
    <w:rsid w:val="00ED41E2"/>
    <w:rsid w:val="00ED4756"/>
    <w:rsid w:val="00EE12B8"/>
    <w:rsid w:val="00EE13DB"/>
    <w:rsid w:val="00EE1B46"/>
    <w:rsid w:val="00EE67A8"/>
    <w:rsid w:val="00EF321A"/>
    <w:rsid w:val="00EF3979"/>
    <w:rsid w:val="00EF54D0"/>
    <w:rsid w:val="00F0158F"/>
    <w:rsid w:val="00F01BA6"/>
    <w:rsid w:val="00F01CA1"/>
    <w:rsid w:val="00F06089"/>
    <w:rsid w:val="00F060F8"/>
    <w:rsid w:val="00F06347"/>
    <w:rsid w:val="00F06371"/>
    <w:rsid w:val="00F07168"/>
    <w:rsid w:val="00F07459"/>
    <w:rsid w:val="00F102AE"/>
    <w:rsid w:val="00F108FE"/>
    <w:rsid w:val="00F13EEC"/>
    <w:rsid w:val="00F141E8"/>
    <w:rsid w:val="00F24114"/>
    <w:rsid w:val="00F2506D"/>
    <w:rsid w:val="00F3247E"/>
    <w:rsid w:val="00F36559"/>
    <w:rsid w:val="00F36DD7"/>
    <w:rsid w:val="00F3769E"/>
    <w:rsid w:val="00F4041D"/>
    <w:rsid w:val="00F40ABF"/>
    <w:rsid w:val="00F4167C"/>
    <w:rsid w:val="00F418F6"/>
    <w:rsid w:val="00F41BFB"/>
    <w:rsid w:val="00F42642"/>
    <w:rsid w:val="00F4370E"/>
    <w:rsid w:val="00F43B9D"/>
    <w:rsid w:val="00F44CFE"/>
    <w:rsid w:val="00F479AA"/>
    <w:rsid w:val="00F53D53"/>
    <w:rsid w:val="00F60F8C"/>
    <w:rsid w:val="00F6365D"/>
    <w:rsid w:val="00F639F1"/>
    <w:rsid w:val="00F6458D"/>
    <w:rsid w:val="00F66A18"/>
    <w:rsid w:val="00F67D8B"/>
    <w:rsid w:val="00F7143D"/>
    <w:rsid w:val="00F725FE"/>
    <w:rsid w:val="00F7367A"/>
    <w:rsid w:val="00F74EC2"/>
    <w:rsid w:val="00F75298"/>
    <w:rsid w:val="00F8073F"/>
    <w:rsid w:val="00F807DA"/>
    <w:rsid w:val="00F8636F"/>
    <w:rsid w:val="00F86B28"/>
    <w:rsid w:val="00F86E24"/>
    <w:rsid w:val="00F87929"/>
    <w:rsid w:val="00F87D1C"/>
    <w:rsid w:val="00F97420"/>
    <w:rsid w:val="00FA2219"/>
    <w:rsid w:val="00FA3B85"/>
    <w:rsid w:val="00FA3DC4"/>
    <w:rsid w:val="00FA4E30"/>
    <w:rsid w:val="00FA5419"/>
    <w:rsid w:val="00FB4BFF"/>
    <w:rsid w:val="00FB5DA6"/>
    <w:rsid w:val="00FC2571"/>
    <w:rsid w:val="00FC77C8"/>
    <w:rsid w:val="00FD04FD"/>
    <w:rsid w:val="00FD26A7"/>
    <w:rsid w:val="00FD31BA"/>
    <w:rsid w:val="00FD3933"/>
    <w:rsid w:val="00FD40E2"/>
    <w:rsid w:val="00FD481F"/>
    <w:rsid w:val="00FD5BDE"/>
    <w:rsid w:val="00FD71F6"/>
    <w:rsid w:val="00FE3E34"/>
    <w:rsid w:val="00FE75C7"/>
    <w:rsid w:val="00FE7A05"/>
    <w:rsid w:val="00FE7E90"/>
    <w:rsid w:val="00FF128F"/>
    <w:rsid w:val="00FF3F2D"/>
    <w:rsid w:val="00FF6051"/>
    <w:rsid w:val="00FF79AA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2614B-B878-4DDC-BF60-65F16B6A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BF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C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A3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9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3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9F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A1E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9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C0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973A-3783-4990-A6AB-E13D164F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THAOKKT</dc:creator>
  <cp:lastModifiedBy>Admin</cp:lastModifiedBy>
  <cp:revision>1632</cp:revision>
  <cp:lastPrinted>2018-01-18T01:19:00Z</cp:lastPrinted>
  <dcterms:created xsi:type="dcterms:W3CDTF">2018-04-04T09:14:00Z</dcterms:created>
  <dcterms:modified xsi:type="dcterms:W3CDTF">2018-05-31T02:07:00Z</dcterms:modified>
</cp:coreProperties>
</file>